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30045245"/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2470A" w:rsidRPr="00E2470A" w:rsidRDefault="00E2470A" w:rsidP="0033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E2470A" w:rsidRPr="00E2470A" w:rsidTr="004E6988">
        <w:tc>
          <w:tcPr>
            <w:tcW w:w="5210" w:type="dxa"/>
            <w:shd w:val="clear" w:color="auto" w:fill="auto"/>
          </w:tcPr>
          <w:p w:rsidR="00E2470A" w:rsidRPr="00E2470A" w:rsidRDefault="00431D64" w:rsidP="003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20.11.2023</w:t>
            </w:r>
          </w:p>
        </w:tc>
        <w:tc>
          <w:tcPr>
            <w:tcW w:w="5211" w:type="dxa"/>
            <w:shd w:val="clear" w:color="auto" w:fill="auto"/>
          </w:tcPr>
          <w:p w:rsidR="00E2470A" w:rsidRPr="00E2470A" w:rsidRDefault="00E2470A" w:rsidP="0043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431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205-13</w:t>
            </w:r>
          </w:p>
        </w:tc>
      </w:tr>
      <w:tr w:rsidR="00E2470A" w:rsidRPr="00E2470A" w:rsidTr="004E6988">
        <w:tc>
          <w:tcPr>
            <w:tcW w:w="10421" w:type="dxa"/>
            <w:gridSpan w:val="2"/>
            <w:shd w:val="clear" w:color="auto" w:fill="auto"/>
          </w:tcPr>
          <w:p w:rsidR="00E2470A" w:rsidRPr="00E2470A" w:rsidRDefault="00E2470A" w:rsidP="0033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3223806"/>
      <w:bookmarkStart w:id="2" w:name="_Hlk54878594"/>
      <w:bookmarkStart w:id="3" w:name="_Hlk54881396"/>
      <w:bookmarkEnd w:id="0"/>
    </w:p>
    <w:bookmarkEnd w:id="1"/>
    <w:bookmarkEnd w:id="2"/>
    <w:bookmarkEnd w:id="3"/>
    <w:p w:rsidR="00E2470A" w:rsidRPr="00E2470A" w:rsidRDefault="00E2470A" w:rsidP="003343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муниципального проекта «Школьная инициатива» на </w:t>
      </w:r>
      <w:r w:rsidR="0043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E2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12, 132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статьей 9 Бюджетного кодекса Российской Федерации, Уставом Лихославльского муниципального округа Тверской области, Администрация Лихославльского муниципального округа </w:t>
      </w:r>
      <w:r w:rsidRPr="00431D6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муниципальный проект «Школьная инициатива» на </w:t>
      </w:r>
      <w:r w:rsidR="00431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E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2470A" w:rsidRPr="00E2470A" w:rsidRDefault="00E2470A" w:rsidP="00334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уполномоченным органом, координирующим организацию и реализацию мероприятий, Отдел образования (Сысоева Т.А.)</w:t>
      </w:r>
      <w:r w:rsidR="00CE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70A" w:rsidRPr="00E2470A" w:rsidRDefault="00E2470A" w:rsidP="003343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70A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 заместителя Главы Администрации Лихославльского муниципального округа</w:t>
      </w:r>
      <w:r w:rsidR="00431D64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E2470A">
        <w:rPr>
          <w:rFonts w:ascii="Times New Roman" w:eastAsia="Times New Roman" w:hAnsi="Times New Roman" w:cs="Times New Roman"/>
          <w:sz w:val="28"/>
          <w:szCs w:val="28"/>
        </w:rPr>
        <w:t xml:space="preserve"> по социальным вопросам Громову О.Б.</w:t>
      </w:r>
    </w:p>
    <w:p w:rsidR="00E2470A" w:rsidRPr="00E2470A" w:rsidRDefault="00E2470A" w:rsidP="003343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70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подписания, подлежит официальному опубликованию в газете «Наша жизнь»,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E2470A" w:rsidRPr="00E2470A" w:rsidRDefault="00E2470A" w:rsidP="0033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0A" w:rsidRPr="00E2470A" w:rsidRDefault="00E2470A" w:rsidP="0033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2470A" w:rsidRPr="00E2470A" w:rsidTr="004E6988">
        <w:tc>
          <w:tcPr>
            <w:tcW w:w="5637" w:type="dxa"/>
            <w:shd w:val="clear" w:color="auto" w:fill="auto"/>
          </w:tcPr>
          <w:p w:rsidR="00E2470A" w:rsidRPr="00E2470A" w:rsidRDefault="00E2470A" w:rsidP="0033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Лихославльского</w:t>
            </w:r>
          </w:p>
          <w:p w:rsidR="00E2470A" w:rsidRPr="00E2470A" w:rsidRDefault="00E2470A" w:rsidP="0033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2470A" w:rsidRPr="00E2470A" w:rsidRDefault="00E2470A" w:rsidP="00334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E2470A" w:rsidRPr="0033436E" w:rsidRDefault="00E2470A" w:rsidP="0033436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2470A" w:rsidRPr="0033436E" w:rsidSect="00E2470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7938"/>
        <w:gridCol w:w="7088"/>
      </w:tblGrid>
      <w:tr w:rsidR="00516CA4" w:rsidRPr="00516CA4" w:rsidTr="004D2C80">
        <w:tc>
          <w:tcPr>
            <w:tcW w:w="7938" w:type="dxa"/>
            <w:shd w:val="clear" w:color="auto" w:fill="auto"/>
          </w:tcPr>
          <w:p w:rsidR="00516CA4" w:rsidRPr="00516CA4" w:rsidRDefault="00516CA4" w:rsidP="00334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51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516CA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7088" w:type="dxa"/>
            <w:shd w:val="clear" w:color="auto" w:fill="auto"/>
          </w:tcPr>
          <w:p w:rsidR="00516CA4" w:rsidRPr="00516CA4" w:rsidRDefault="00516CA4" w:rsidP="00334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516CA4" w:rsidRPr="00516CA4" w:rsidRDefault="00516CA4" w:rsidP="007F0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к постановлению Администрации Лихославл</w:t>
            </w:r>
            <w:r w:rsidR="000E534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ьского муниципального округа от </w:t>
            </w:r>
            <w:r w:rsidR="007F0E1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20.11.2023</w:t>
            </w:r>
            <w:r w:rsidRPr="00516CA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№</w:t>
            </w:r>
            <w:r w:rsidRPr="0033436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 </w:t>
            </w:r>
            <w:r w:rsidR="007F0E1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205-13</w:t>
            </w:r>
          </w:p>
        </w:tc>
      </w:tr>
    </w:tbl>
    <w:p w:rsidR="00E2470A" w:rsidRDefault="00E2470A" w:rsidP="003343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E1B" w:rsidRPr="007F0E1B" w:rsidRDefault="007F0E1B" w:rsidP="007F0E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«Школьная инициатива»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0E1B" w:rsidRPr="007F0E1B" w:rsidRDefault="007F0E1B" w:rsidP="007F0E1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494"/>
        <w:gridCol w:w="5385"/>
      </w:tblGrid>
      <w:tr w:rsidR="007F0E1B" w:rsidRPr="007F0E1B" w:rsidTr="007F0E1B">
        <w:trPr>
          <w:trHeight w:val="113"/>
        </w:trPr>
        <w:tc>
          <w:tcPr>
            <w:tcW w:w="5000" w:type="pct"/>
            <w:gridSpan w:val="3"/>
          </w:tcPr>
          <w:p w:rsidR="007F0E1B" w:rsidRPr="007F0E1B" w:rsidRDefault="004D2C80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7F0E1B"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проекте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Направление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молодежных проектов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Название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инициатива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Краткое описание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«Школьная инициатива» –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«Школьная инициатива» –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 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География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 Лихославльского муниципального округа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Дата начала реализации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 2023 г.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Дата окончания реализации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 2024 г.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Обоснование социальной значимости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 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 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Целевые группы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8-11 классов, родители, работники образовательных организаций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Цели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выявление и поддержка инициатив обучающихся общеобразовательных организаций Лихославльского муниципального округа в реализации проектов, направленных на развитие </w:t>
            </w:r>
            <w:r w:rsidRPr="007F0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школьной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инфраструктуры, развитие диалога между участниками образовательных отношений и органами местного самоуправления;</w:t>
            </w:r>
          </w:p>
          <w:p w:rsidR="007F0E1B" w:rsidRPr="007F0E1B" w:rsidRDefault="007F0E1B" w:rsidP="007F0E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F0E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реализация новых идей по обустройству школьной инфраструктуры;</w:t>
            </w:r>
          </w:p>
          <w:p w:rsidR="007F0E1B" w:rsidRPr="007F0E1B" w:rsidRDefault="007F0E1B" w:rsidP="007F0E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повышение финансовой и бюджетной грамотности, а также гражданской активности старшеклассников</w:t>
            </w:r>
            <w:r w:rsidRPr="007F0E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.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 Задачи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Содействие внедрению </w:t>
            </w:r>
            <w:r w:rsidRPr="007F0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F0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активных 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 и креативных форм воспитания обучающихся по формированию активной жизненной позиции,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Проведение организационных мероприятий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мероприятий проектных инициатив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Подведение итогов, анализ и оценка эффективности проекта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Партнёры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Лихославльского муниципального округа Тверской области;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образования;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управление;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 общеобразовательных организаций Лихославльского муниципального округа: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«ЛСОШ №1»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«ЛСОШ №2»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«ЛСОШ№7»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«ВСОШ»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Крючковская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В.И.Акимова</w:t>
            </w:r>
            <w:proofErr w:type="spellEnd"/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«ТСОШ»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«МСОШ»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 Как будет организовано информационное сопровождение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информации: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«Редакция Газеты «Наша жизнь»;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Интернет-ресурсы: 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</w:t>
            </w:r>
            <w:proofErr w:type="gramStart"/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 Лихославльского</w:t>
            </w:r>
            <w:proofErr w:type="gramEnd"/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округа, Отдела образования, сайты проекта «Школьная инициатива» общеобразовательных организаций округа: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«ЛСОШ №1»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«ЛСОШ №2»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«ЛСОШ№7»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«ВСОШ»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Крючковская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В.И.Акимова</w:t>
            </w:r>
            <w:proofErr w:type="spellEnd"/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«ТСОШ»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«МСОШ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сети «В Контакте», «Одноклассники», родительские чаты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  <w:vMerge w:val="restar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 Количественные результаты</w:t>
            </w:r>
          </w:p>
        </w:tc>
        <w:tc>
          <w:tcPr>
            <w:tcW w:w="1816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8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  <w:vMerge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участников проекта</w:t>
            </w:r>
          </w:p>
        </w:tc>
        <w:tc>
          <w:tcPr>
            <w:tcW w:w="178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обучающихся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 Качественные результаты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 Дальнейшее развитие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в проект учащихся 5-7 классов </w:t>
            </w:r>
          </w:p>
        </w:tc>
      </w:tr>
      <w:tr w:rsidR="007F0E1B" w:rsidRPr="007F0E1B" w:rsidTr="007F0E1B">
        <w:trPr>
          <w:trHeight w:val="113"/>
        </w:trPr>
        <w:tc>
          <w:tcPr>
            <w:tcW w:w="5000" w:type="pct"/>
            <w:gridSpan w:val="3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Руководитель проекта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Должность руководителя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образования Администрации Лихославльского муниципального округа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ФИО руководителя 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Татьяна Анатольевна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Рабочий телефон руководителя </w:t>
            </w:r>
          </w:p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8(48261) 3-51-97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Электронная почта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otdelobr.lihoslavl@mail.ru</w:t>
            </w:r>
          </w:p>
        </w:tc>
      </w:tr>
      <w:tr w:rsidR="007F0E1B" w:rsidRPr="007F0E1B" w:rsidTr="007F0E1B">
        <w:trPr>
          <w:trHeight w:val="113"/>
        </w:trPr>
        <w:tc>
          <w:tcPr>
            <w:tcW w:w="5000" w:type="pct"/>
            <w:gridSpan w:val="3"/>
          </w:tcPr>
          <w:p w:rsidR="007F0E1B" w:rsidRPr="007F0E1B" w:rsidRDefault="007F0E1B" w:rsidP="004D2C8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</w:t>
            </w: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Команда проекта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Организация, ФИО руководителя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Лихославльского муниципального округа, 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отделом образования Сысоева Т.А.</w:t>
            </w:r>
          </w:p>
        </w:tc>
      </w:tr>
      <w:tr w:rsidR="007F0E1B" w:rsidRPr="007F0E1B" w:rsidTr="007F0E1B">
        <w:trPr>
          <w:trHeight w:val="113"/>
        </w:trPr>
        <w:tc>
          <w:tcPr>
            <w:tcW w:w="1404" w:type="pct"/>
          </w:tcPr>
          <w:p w:rsidR="007F0E1B" w:rsidRPr="007F0E1B" w:rsidRDefault="007F0E1B" w:rsidP="007F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ФИО члена команды</w:t>
            </w:r>
          </w:p>
        </w:tc>
        <w:tc>
          <w:tcPr>
            <w:tcW w:w="3596" w:type="pct"/>
            <w:gridSpan w:val="2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Ирина Владимировна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Светлана Ивановна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Патрикеева Ольга Юльевна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Нина Михайловна</w:t>
            </w:r>
          </w:p>
        </w:tc>
      </w:tr>
    </w:tbl>
    <w:p w:rsidR="007F0E1B" w:rsidRPr="007F0E1B" w:rsidRDefault="007F0E1B" w:rsidP="007F0E1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30j0zll" w:colFirst="0" w:colLast="0"/>
      <w:bookmarkStart w:id="5" w:name="_2et92p0" w:colFirst="0" w:colLast="0"/>
      <w:bookmarkEnd w:id="4"/>
      <w:bookmarkEnd w:id="5"/>
    </w:p>
    <w:p w:rsidR="007F0E1B" w:rsidRPr="004D2C80" w:rsidRDefault="004D2C80" w:rsidP="007F0E1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7F0E1B" w:rsidRPr="007F0E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Календарный план реализации проекта</w:t>
      </w:r>
    </w:p>
    <w:p w:rsidR="007F0E1B" w:rsidRPr="007F0E1B" w:rsidRDefault="007F0E1B" w:rsidP="007F0E1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GoBack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962"/>
        <w:gridCol w:w="6943"/>
        <w:gridCol w:w="1419"/>
        <w:gridCol w:w="1240"/>
      </w:tblGrid>
      <w:tr w:rsidR="007F0E1B" w:rsidRPr="007F0E1B" w:rsidTr="004D2C80">
        <w:trPr>
          <w:trHeight w:val="113"/>
        </w:trPr>
        <w:tc>
          <w:tcPr>
            <w:tcW w:w="186" w:type="pc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640" w:type="pc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Решаемая задача*</w:t>
            </w:r>
          </w:p>
        </w:tc>
        <w:tc>
          <w:tcPr>
            <w:tcW w:w="2295" w:type="pc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9" w:type="pc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410" w:type="pc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завершения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внедрению </w:t>
            </w:r>
            <w:r w:rsidRPr="007F0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F0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активных </w:t>
            </w: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технологий и креативных форм воспитания обучающихся по формированию </w:t>
            </w:r>
            <w:r w:rsid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активной жизненной позиции</w:t>
            </w: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проекта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22.11.2023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ПШИ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29.11.2023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школьного этапа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01.12.2023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15.12.2023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организационных мероприятий</w:t>
            </w: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проектного предложения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28.12.2023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22.01.2024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28.01.2024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проектного предложения на регион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29.01.2024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09.02.2024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проектов на уровне региона. Заседание конкурсной комиссии. Закрепление победителя.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проектных инициатив</w:t>
            </w: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28.04.2024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 - победителей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01.08.2024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pct"/>
            <w:vMerge w:val="restart"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итогов, анализ и оценка эффективности проекта</w:t>
            </w: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открытие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02.09.2024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30.09.2024</w:t>
            </w:r>
          </w:p>
        </w:tc>
      </w:tr>
      <w:tr w:rsidR="007F0E1B" w:rsidRPr="007F0E1B" w:rsidTr="004D2C80">
        <w:trPr>
          <w:trHeight w:val="113"/>
        </w:trPr>
        <w:tc>
          <w:tcPr>
            <w:tcW w:w="186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  <w:vAlign w:val="center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469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01.10.2024</w:t>
            </w:r>
          </w:p>
        </w:tc>
        <w:tc>
          <w:tcPr>
            <w:tcW w:w="410" w:type="pct"/>
          </w:tcPr>
          <w:p w:rsidR="007F0E1B" w:rsidRPr="007F0E1B" w:rsidRDefault="007F0E1B" w:rsidP="007F0E1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27.12.2024</w:t>
            </w:r>
          </w:p>
        </w:tc>
      </w:tr>
    </w:tbl>
    <w:p w:rsidR="007F0E1B" w:rsidRDefault="007F0E1B" w:rsidP="007F0E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0E1B" w:rsidSect="00516CA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5BA9"/>
    <w:multiLevelType w:val="hybridMultilevel"/>
    <w:tmpl w:val="B55061AC"/>
    <w:lvl w:ilvl="0" w:tplc="D6B451CE">
      <w:start w:val="3"/>
      <w:numFmt w:val="decimal"/>
      <w:lvlText w:val="%1."/>
      <w:lvlJc w:val="left"/>
      <w:pPr>
        <w:ind w:left="617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A"/>
    <w:rsid w:val="00023FD1"/>
    <w:rsid w:val="000705AC"/>
    <w:rsid w:val="000E534D"/>
    <w:rsid w:val="001E582E"/>
    <w:rsid w:val="002F06E8"/>
    <w:rsid w:val="00324CB5"/>
    <w:rsid w:val="0033436E"/>
    <w:rsid w:val="003B4CF3"/>
    <w:rsid w:val="00431D64"/>
    <w:rsid w:val="00474CAA"/>
    <w:rsid w:val="004D2C80"/>
    <w:rsid w:val="004F2091"/>
    <w:rsid w:val="00516CA4"/>
    <w:rsid w:val="00552852"/>
    <w:rsid w:val="00576A91"/>
    <w:rsid w:val="006F0B24"/>
    <w:rsid w:val="007718D1"/>
    <w:rsid w:val="007F0E1B"/>
    <w:rsid w:val="008522DE"/>
    <w:rsid w:val="00855FAF"/>
    <w:rsid w:val="008A4086"/>
    <w:rsid w:val="009534EF"/>
    <w:rsid w:val="00973E48"/>
    <w:rsid w:val="009F35FB"/>
    <w:rsid w:val="00A02E43"/>
    <w:rsid w:val="00A43A33"/>
    <w:rsid w:val="00A75505"/>
    <w:rsid w:val="00AA6D50"/>
    <w:rsid w:val="00B14C2A"/>
    <w:rsid w:val="00BD3B56"/>
    <w:rsid w:val="00BF1DCB"/>
    <w:rsid w:val="00CE5193"/>
    <w:rsid w:val="00D06371"/>
    <w:rsid w:val="00E17529"/>
    <w:rsid w:val="00E2470A"/>
    <w:rsid w:val="00ED5194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2974-FE84-4C91-85A3-6350D758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0A"/>
    <w:pPr>
      <w:ind w:left="720"/>
      <w:contextualSpacing/>
    </w:pPr>
  </w:style>
  <w:style w:type="table" w:styleId="a4">
    <w:name w:val="Table Grid"/>
    <w:basedOn w:val="a1"/>
    <w:uiPriority w:val="39"/>
    <w:rsid w:val="00D0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C21-2262-4097-A5F6-68691C00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2022-11-24T09:49:00Z</cp:lastPrinted>
  <dcterms:created xsi:type="dcterms:W3CDTF">2023-11-30T13:41:00Z</dcterms:created>
  <dcterms:modified xsi:type="dcterms:W3CDTF">2023-11-30T13:48:00Z</dcterms:modified>
</cp:coreProperties>
</file>