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ТВЕРСКОЙ ОБЛАСТИ</w:t>
      </w:r>
    </w:p>
    <w:p w:rsidR="00F169A1" w:rsidRPr="00C50F8D" w:rsidRDefault="00F169A1" w:rsidP="00F169A1">
      <w:pPr>
        <w:tabs>
          <w:tab w:val="left" w:pos="5625"/>
        </w:tabs>
        <w:contextualSpacing/>
        <w:rPr>
          <w:i/>
          <w:color w:val="000000"/>
          <w:sz w:val="28"/>
          <w:szCs w:val="28"/>
        </w:rPr>
      </w:pP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ПОСТАНОВЛЕНИЕ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F169A1" w:rsidRPr="00C50F8D" w:rsidTr="00870C83">
        <w:tc>
          <w:tcPr>
            <w:tcW w:w="5105" w:type="dxa"/>
            <w:hideMark/>
          </w:tcPr>
          <w:p w:rsidR="00F169A1" w:rsidRPr="00C50F8D" w:rsidRDefault="00CF4E61" w:rsidP="00870C83">
            <w:pPr>
              <w:tabs>
                <w:tab w:val="left" w:pos="7590"/>
              </w:tabs>
              <w:contextualSpacing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01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.0</w:t>
            </w:r>
            <w:r w:rsidR="002F3C8C">
              <w:rPr>
                <w:color w:val="000000"/>
                <w:sz w:val="28"/>
                <w:szCs w:val="28"/>
                <w:lang w:eastAsia="zh-CN" w:bidi="hi-IN"/>
              </w:rPr>
              <w:t>4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F169A1" w:rsidRPr="00C50F8D" w:rsidRDefault="00F169A1" w:rsidP="000768C2">
            <w:pPr>
              <w:tabs>
                <w:tab w:val="left" w:pos="7590"/>
              </w:tabs>
              <w:contextualSpacing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50F8D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CF4E61">
              <w:rPr>
                <w:color w:val="000000"/>
                <w:sz w:val="28"/>
                <w:szCs w:val="28"/>
                <w:lang w:eastAsia="zh-CN" w:bidi="hi-IN"/>
              </w:rPr>
              <w:t> 58</w:t>
            </w:r>
            <w:r w:rsidR="00C46F9B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768C2" w:rsidRPr="00C50F8D" w:rsidTr="000768C2">
        <w:tc>
          <w:tcPr>
            <w:tcW w:w="10205" w:type="dxa"/>
            <w:gridSpan w:val="2"/>
          </w:tcPr>
          <w:p w:rsidR="000768C2" w:rsidRPr="00C50F8D" w:rsidRDefault="000768C2" w:rsidP="000768C2">
            <w:pPr>
              <w:contextualSpacing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B12C44">
              <w:rPr>
                <w:sz w:val="28"/>
                <w:szCs w:val="28"/>
              </w:rPr>
              <w:t>г. Лихославль</w:t>
            </w:r>
          </w:p>
        </w:tc>
      </w:tr>
    </w:tbl>
    <w:p w:rsidR="00F169A1" w:rsidRDefault="00F169A1" w:rsidP="00CB6E23">
      <w:pPr>
        <w:jc w:val="center"/>
        <w:rPr>
          <w:b/>
          <w:sz w:val="28"/>
          <w:szCs w:val="28"/>
        </w:rPr>
      </w:pPr>
    </w:p>
    <w:p w:rsidR="00CF4E61" w:rsidRPr="00CB6E23" w:rsidRDefault="00CF4E61" w:rsidP="00CB6E23">
      <w:pPr>
        <w:jc w:val="center"/>
        <w:rPr>
          <w:b/>
          <w:sz w:val="28"/>
          <w:szCs w:val="28"/>
        </w:rPr>
      </w:pPr>
    </w:p>
    <w:p w:rsidR="00457C91" w:rsidRPr="00457C91" w:rsidRDefault="00457C91" w:rsidP="00457C9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57C91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457C91">
        <w:rPr>
          <w:b/>
          <w:sz w:val="28"/>
          <w:szCs w:val="28"/>
        </w:rPr>
        <w:t>Лихославльского муниципального округа «Развитие и благоустройство сельских территорий Лихославльского муниципального округа» на 2022-2026 годы</w:t>
      </w:r>
    </w:p>
    <w:p w:rsidR="00CB6E23" w:rsidRDefault="00CB6E23" w:rsidP="00CB6E23">
      <w:pPr>
        <w:jc w:val="center"/>
        <w:rPr>
          <w:sz w:val="28"/>
          <w:szCs w:val="28"/>
        </w:rPr>
      </w:pPr>
    </w:p>
    <w:p w:rsidR="00CF4E61" w:rsidRPr="00CB6E23" w:rsidRDefault="00CF4E61" w:rsidP="00CB6E23">
      <w:pPr>
        <w:jc w:val="center"/>
        <w:rPr>
          <w:sz w:val="28"/>
          <w:szCs w:val="28"/>
        </w:rPr>
      </w:pPr>
    </w:p>
    <w:p w:rsidR="00107F3E" w:rsidRPr="00107F3E" w:rsidRDefault="00CB6E23" w:rsidP="00C46A4B">
      <w:pPr>
        <w:ind w:firstLine="709"/>
        <w:jc w:val="both"/>
      </w:pPr>
      <w:r w:rsidRPr="00CB6E23">
        <w:rPr>
          <w:sz w:val="28"/>
          <w:szCs w:val="28"/>
        </w:rPr>
        <w:t>В соответствии с Бюджетным кодексом Российской Федерации</w:t>
      </w:r>
      <w:r w:rsidRPr="00D51FF9">
        <w:rPr>
          <w:sz w:val="28"/>
          <w:szCs w:val="28"/>
        </w:rPr>
        <w:t xml:space="preserve">, руководствуясь решением </w:t>
      </w:r>
      <w:r w:rsidR="00C0569E">
        <w:rPr>
          <w:sz w:val="28"/>
          <w:szCs w:val="28"/>
        </w:rPr>
        <w:t>Думы Лихославльского муниципального округа</w:t>
      </w:r>
      <w:r w:rsidRPr="00CB6E23">
        <w:rPr>
          <w:sz w:val="28"/>
          <w:szCs w:val="28"/>
        </w:rPr>
        <w:t xml:space="preserve"> от</w:t>
      </w:r>
      <w:r w:rsidR="008325E6">
        <w:rPr>
          <w:sz w:val="28"/>
          <w:szCs w:val="28"/>
        </w:rPr>
        <w:t xml:space="preserve"> </w:t>
      </w:r>
      <w:r w:rsidR="00F169A1">
        <w:rPr>
          <w:sz w:val="28"/>
          <w:szCs w:val="28"/>
        </w:rPr>
        <w:t>22.12.</w:t>
      </w:r>
      <w:r w:rsidR="00C0569E">
        <w:rPr>
          <w:sz w:val="28"/>
          <w:szCs w:val="28"/>
        </w:rPr>
        <w:t xml:space="preserve">2021 </w:t>
      </w:r>
      <w:r w:rsidR="000B6CDD">
        <w:rPr>
          <w:sz w:val="28"/>
          <w:szCs w:val="28"/>
        </w:rPr>
        <w:t xml:space="preserve">№ </w:t>
      </w:r>
      <w:r w:rsidR="00F169A1">
        <w:rPr>
          <w:sz w:val="28"/>
          <w:szCs w:val="28"/>
        </w:rPr>
        <w:t>7/58-1</w:t>
      </w:r>
      <w:r w:rsidRPr="00CB6E23">
        <w:rPr>
          <w:sz w:val="28"/>
          <w:szCs w:val="28"/>
        </w:rPr>
        <w:t xml:space="preserve"> «О бюджете</w:t>
      </w:r>
      <w:r w:rsidR="00F169A1">
        <w:rPr>
          <w:sz w:val="28"/>
          <w:szCs w:val="28"/>
        </w:rPr>
        <w:t xml:space="preserve"> муниципального образования</w:t>
      </w:r>
      <w:r w:rsidRPr="00CB6E23">
        <w:rPr>
          <w:sz w:val="28"/>
          <w:szCs w:val="28"/>
        </w:rPr>
        <w:t xml:space="preserve"> </w:t>
      </w:r>
      <w:r w:rsidR="000B6CDD">
        <w:rPr>
          <w:sz w:val="28"/>
          <w:szCs w:val="28"/>
        </w:rPr>
        <w:t>Лихославльск</w:t>
      </w:r>
      <w:r w:rsidR="00F169A1">
        <w:rPr>
          <w:sz w:val="28"/>
          <w:szCs w:val="28"/>
        </w:rPr>
        <w:t>ий</w:t>
      </w:r>
      <w:r w:rsidR="008325E6">
        <w:rPr>
          <w:sz w:val="28"/>
          <w:szCs w:val="28"/>
        </w:rPr>
        <w:t xml:space="preserve"> </w:t>
      </w:r>
      <w:r w:rsidR="000B6CDD">
        <w:rPr>
          <w:sz w:val="28"/>
          <w:szCs w:val="28"/>
        </w:rPr>
        <w:t>муниципальн</w:t>
      </w:r>
      <w:r w:rsidR="00F169A1">
        <w:rPr>
          <w:sz w:val="28"/>
          <w:szCs w:val="28"/>
        </w:rPr>
        <w:t>ый</w:t>
      </w:r>
      <w:r w:rsidR="000B6CDD">
        <w:rPr>
          <w:sz w:val="28"/>
          <w:szCs w:val="28"/>
        </w:rPr>
        <w:t xml:space="preserve"> </w:t>
      </w:r>
      <w:r w:rsidR="00C0569E">
        <w:rPr>
          <w:sz w:val="28"/>
          <w:szCs w:val="28"/>
        </w:rPr>
        <w:t>округ</w:t>
      </w:r>
      <w:r w:rsidR="000B6CDD">
        <w:rPr>
          <w:sz w:val="28"/>
          <w:szCs w:val="28"/>
        </w:rPr>
        <w:t xml:space="preserve"> Тверской области на 202</w:t>
      </w:r>
      <w:r w:rsidR="00C0569E">
        <w:rPr>
          <w:sz w:val="28"/>
          <w:szCs w:val="28"/>
        </w:rPr>
        <w:t>2</w:t>
      </w:r>
      <w:r w:rsidR="000B6CDD">
        <w:rPr>
          <w:sz w:val="28"/>
          <w:szCs w:val="28"/>
        </w:rPr>
        <w:t xml:space="preserve"> г</w:t>
      </w:r>
      <w:r w:rsidR="00F169A1">
        <w:rPr>
          <w:sz w:val="28"/>
          <w:szCs w:val="28"/>
        </w:rPr>
        <w:t>од</w:t>
      </w:r>
      <w:r w:rsidR="000B6CDD">
        <w:rPr>
          <w:sz w:val="28"/>
          <w:szCs w:val="28"/>
        </w:rPr>
        <w:t xml:space="preserve"> и плановый период 202</w:t>
      </w:r>
      <w:r w:rsidR="00C0569E">
        <w:rPr>
          <w:sz w:val="28"/>
          <w:szCs w:val="28"/>
        </w:rPr>
        <w:t>3</w:t>
      </w:r>
      <w:r w:rsidR="000B6CDD">
        <w:rPr>
          <w:sz w:val="28"/>
          <w:szCs w:val="28"/>
        </w:rPr>
        <w:t xml:space="preserve"> и 202</w:t>
      </w:r>
      <w:r w:rsidR="00C0569E">
        <w:rPr>
          <w:sz w:val="28"/>
          <w:szCs w:val="28"/>
        </w:rPr>
        <w:t>4</w:t>
      </w:r>
      <w:r w:rsidR="000B6CDD">
        <w:rPr>
          <w:sz w:val="28"/>
          <w:szCs w:val="28"/>
        </w:rPr>
        <w:t xml:space="preserve"> годов</w:t>
      </w:r>
      <w:r w:rsidRPr="00CB6E23">
        <w:rPr>
          <w:sz w:val="28"/>
          <w:szCs w:val="28"/>
        </w:rPr>
        <w:t>», Порядком</w:t>
      </w:r>
      <w:r w:rsidR="00F169A1">
        <w:rPr>
          <w:sz w:val="28"/>
          <w:szCs w:val="28"/>
        </w:rPr>
        <w:t xml:space="preserve"> 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Pr="00107F3E">
        <w:rPr>
          <w:sz w:val="28"/>
          <w:szCs w:val="28"/>
        </w:rPr>
        <w:t xml:space="preserve">, утвержденным постановлением </w:t>
      </w:r>
      <w:r w:rsidR="00F169A1">
        <w:rPr>
          <w:sz w:val="28"/>
          <w:szCs w:val="28"/>
        </w:rPr>
        <w:t>А</w:t>
      </w:r>
      <w:r w:rsidRPr="00107F3E">
        <w:rPr>
          <w:sz w:val="28"/>
          <w:szCs w:val="28"/>
        </w:rPr>
        <w:t xml:space="preserve">дминистрации Лихославльского </w:t>
      </w:r>
      <w:r w:rsidR="00F169A1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от </w:t>
      </w:r>
      <w:r w:rsidR="00F169A1">
        <w:rPr>
          <w:sz w:val="28"/>
          <w:szCs w:val="28"/>
        </w:rPr>
        <w:t>26.01.2022</w:t>
      </w:r>
      <w:r w:rsidRPr="00107F3E">
        <w:rPr>
          <w:sz w:val="28"/>
          <w:szCs w:val="28"/>
        </w:rPr>
        <w:t xml:space="preserve"> № </w:t>
      </w:r>
      <w:r w:rsidR="00F169A1">
        <w:rPr>
          <w:sz w:val="28"/>
          <w:szCs w:val="28"/>
        </w:rPr>
        <w:t>12-3</w:t>
      </w:r>
      <w:r w:rsidR="00C46A4B">
        <w:rPr>
          <w:sz w:val="28"/>
          <w:szCs w:val="28"/>
        </w:rPr>
        <w:t>,</w:t>
      </w:r>
      <w:r w:rsidR="000768C2">
        <w:rPr>
          <w:sz w:val="28"/>
          <w:szCs w:val="28"/>
        </w:rPr>
        <w:t xml:space="preserve"> А</w:t>
      </w:r>
      <w:r w:rsidRPr="00107F3E">
        <w:rPr>
          <w:sz w:val="28"/>
          <w:szCs w:val="28"/>
        </w:rPr>
        <w:t xml:space="preserve">дминистрация Лихославльского </w:t>
      </w:r>
      <w:r w:rsidR="00B776F1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</w:t>
      </w:r>
      <w:r w:rsidRPr="00107F3E">
        <w:rPr>
          <w:b/>
          <w:spacing w:val="30"/>
          <w:sz w:val="28"/>
          <w:szCs w:val="28"/>
        </w:rPr>
        <w:t>постановляет</w:t>
      </w:r>
      <w:r w:rsidR="00E11D5C" w:rsidRPr="00107F3E">
        <w:rPr>
          <w:b/>
          <w:spacing w:val="30"/>
          <w:sz w:val="28"/>
          <w:szCs w:val="28"/>
        </w:rPr>
        <w:t>:</w:t>
      </w:r>
    </w:p>
    <w:p w:rsidR="00CB6E23" w:rsidRPr="00107F3E" w:rsidRDefault="00107F3E" w:rsidP="00C46A4B">
      <w:pPr>
        <w:ind w:firstLine="709"/>
        <w:jc w:val="both"/>
      </w:pPr>
      <w:r w:rsidRPr="00107F3E">
        <w:t xml:space="preserve">1. </w:t>
      </w:r>
      <w:r w:rsidR="00CB6E23" w:rsidRPr="00107F3E">
        <w:rPr>
          <w:sz w:val="28"/>
          <w:szCs w:val="28"/>
        </w:rPr>
        <w:t>Утвердить муниципальную программу</w:t>
      </w:r>
      <w:r w:rsidR="00BC080D">
        <w:rPr>
          <w:sz w:val="28"/>
          <w:szCs w:val="28"/>
        </w:rPr>
        <w:t xml:space="preserve"> Лихославльского </w:t>
      </w:r>
      <w:r w:rsidR="00B776F1">
        <w:rPr>
          <w:sz w:val="28"/>
          <w:szCs w:val="28"/>
        </w:rPr>
        <w:t>муниципального округа</w:t>
      </w:r>
      <w:r w:rsidR="00CB6E23" w:rsidRPr="00107F3E"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«Развитие и благоустройство сельских территорий Лихославльского муниципального округа» на 2022-2026 годы</w:t>
      </w:r>
      <w:r w:rsidR="00CB6E23" w:rsidRPr="00107F3E">
        <w:rPr>
          <w:sz w:val="28"/>
          <w:szCs w:val="28"/>
        </w:rPr>
        <w:t>.</w:t>
      </w:r>
    </w:p>
    <w:p w:rsidR="00CB6E23" w:rsidRPr="00107F3E" w:rsidRDefault="00CB6E23" w:rsidP="00C46A4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2. Определить</w:t>
      </w:r>
      <w:r w:rsidR="00457C91">
        <w:rPr>
          <w:sz w:val="28"/>
          <w:szCs w:val="28"/>
        </w:rPr>
        <w:t xml:space="preserve"> главным</w:t>
      </w:r>
      <w:r w:rsidRPr="00107F3E">
        <w:rPr>
          <w:sz w:val="28"/>
          <w:szCs w:val="28"/>
        </w:rPr>
        <w:t xml:space="preserve"> администратором муниципальной программы </w:t>
      </w:r>
      <w:r w:rsidR="00457C91" w:rsidRPr="00261E9F">
        <w:rPr>
          <w:sz w:val="28"/>
          <w:szCs w:val="28"/>
        </w:rPr>
        <w:t xml:space="preserve">Управление развитием территорий </w:t>
      </w:r>
      <w:r w:rsidR="00107F3E">
        <w:rPr>
          <w:sz w:val="28"/>
          <w:szCs w:val="28"/>
        </w:rPr>
        <w:t xml:space="preserve">Лихославльского </w:t>
      </w:r>
      <w:r w:rsidR="00B776F1">
        <w:rPr>
          <w:sz w:val="28"/>
          <w:szCs w:val="28"/>
        </w:rPr>
        <w:t>муниципального округа</w:t>
      </w:r>
      <w:r w:rsidR="00107F3E">
        <w:rPr>
          <w:sz w:val="28"/>
          <w:szCs w:val="28"/>
        </w:rPr>
        <w:t>.</w:t>
      </w:r>
    </w:p>
    <w:p w:rsidR="00457C91" w:rsidRPr="00457C91" w:rsidRDefault="00457C91" w:rsidP="00C4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11D5C" w:rsidRPr="00107F3E">
        <w:rPr>
          <w:rFonts w:ascii="Times New Roman" w:hAnsi="Times New Roman" w:cs="Times New Roman"/>
          <w:sz w:val="28"/>
          <w:szCs w:val="28"/>
        </w:rPr>
        <w:t>ис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11D5C" w:rsidRPr="00107F3E">
        <w:rPr>
          <w:rFonts w:ascii="Times New Roman" w:hAnsi="Times New Roman" w:cs="Times New Roman"/>
          <w:sz w:val="28"/>
          <w:szCs w:val="28"/>
        </w:rPr>
        <w:t>настоящего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A955EC">
        <w:rPr>
          <w:rFonts w:ascii="Times New Roman" w:hAnsi="Times New Roman" w:cs="Times New Roman"/>
          <w:sz w:val="28"/>
          <w:szCs w:val="28"/>
        </w:rPr>
        <w:t>н</w:t>
      </w:r>
      <w:r w:rsidRPr="00457C91">
        <w:rPr>
          <w:rFonts w:ascii="Times New Roman" w:hAnsi="Times New Roman" w:cs="Times New Roman"/>
          <w:sz w:val="28"/>
          <w:szCs w:val="28"/>
        </w:rPr>
        <w:t xml:space="preserve">ачальника Управления Лихославльского муниципального округа Гусенкову С.Ю. </w:t>
      </w:r>
    </w:p>
    <w:p w:rsidR="00034AA9" w:rsidRPr="00457C91" w:rsidRDefault="00457C91" w:rsidP="00C46A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C91">
        <w:rPr>
          <w:rFonts w:ascii="Times New Roman" w:hAnsi="Times New Roman" w:cs="Times New Roman"/>
          <w:sz w:val="28"/>
          <w:szCs w:val="28"/>
        </w:rPr>
        <w:t>4</w:t>
      </w:r>
      <w:r w:rsidR="00CB6E23" w:rsidRPr="00457C91">
        <w:rPr>
          <w:rFonts w:ascii="Times New Roman" w:hAnsi="Times New Roman" w:cs="Times New Roman"/>
          <w:sz w:val="28"/>
          <w:szCs w:val="28"/>
        </w:rPr>
        <w:t xml:space="preserve">. </w:t>
      </w:r>
      <w:r w:rsidR="00CB6E23" w:rsidRPr="0045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BF7834" w:rsidRPr="0045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CB6E23" w:rsidRPr="0045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</w:t>
      </w:r>
      <w:r w:rsidR="009554F3" w:rsidRPr="0045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екоммуникационной сети Интернет </w:t>
      </w:r>
      <w:r w:rsidR="009554F3" w:rsidRPr="00457C9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01.01.202</w:t>
      </w:r>
      <w:r w:rsidR="00E23EF5" w:rsidRPr="00457C91">
        <w:rPr>
          <w:rFonts w:ascii="Times New Roman" w:hAnsi="Times New Roman" w:cs="Times New Roman"/>
          <w:sz w:val="28"/>
          <w:szCs w:val="28"/>
        </w:rPr>
        <w:t>2</w:t>
      </w:r>
      <w:r w:rsidR="009554F3" w:rsidRPr="0045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6E23" w:rsidRDefault="00CB6E23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C46A4B" w:rsidRPr="00457C91" w:rsidRDefault="00C46A4B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B6E23" w:rsidRPr="00CB6E23" w:rsidTr="00107F3E">
        <w:tc>
          <w:tcPr>
            <w:tcW w:w="3333" w:type="pct"/>
            <w:shd w:val="clear" w:color="auto" w:fill="FFFFFF"/>
            <w:vAlign w:val="bottom"/>
            <w:hideMark/>
          </w:tcPr>
          <w:p w:rsidR="00CB6E23" w:rsidRPr="00CB6E23" w:rsidRDefault="00CB6E23" w:rsidP="000768C2">
            <w:pPr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Глава Лихославльского</w:t>
            </w:r>
            <w:r w:rsidR="000768C2">
              <w:rPr>
                <w:sz w:val="28"/>
                <w:szCs w:val="28"/>
              </w:rPr>
              <w:br/>
            </w:r>
            <w:r w:rsidR="00BF783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B6E23" w:rsidRPr="00CB6E23" w:rsidRDefault="00CB6E23" w:rsidP="00B32CD2">
            <w:pPr>
              <w:jc w:val="right"/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Н.Н. Виноградова</w:t>
            </w:r>
          </w:p>
        </w:tc>
      </w:tr>
    </w:tbl>
    <w:p w:rsidR="000768C2" w:rsidRDefault="000768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768C2" w:rsidTr="000768C2">
        <w:tc>
          <w:tcPr>
            <w:tcW w:w="2500" w:type="pct"/>
          </w:tcPr>
          <w:p w:rsidR="000768C2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0768C2" w:rsidRPr="00107F3E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Приложение</w:t>
            </w:r>
          </w:p>
          <w:p w:rsidR="000768C2" w:rsidRDefault="000768C2" w:rsidP="00C46A4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107F3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07F3E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107F3E">
              <w:rPr>
                <w:sz w:val="28"/>
                <w:szCs w:val="28"/>
              </w:rPr>
              <w:t xml:space="preserve">от </w:t>
            </w:r>
            <w:r w:rsidR="00C46A4B">
              <w:rPr>
                <w:sz w:val="28"/>
                <w:szCs w:val="28"/>
              </w:rPr>
              <w:t>01.</w:t>
            </w:r>
            <w:r w:rsidR="002F3C8C">
              <w:rPr>
                <w:sz w:val="28"/>
                <w:szCs w:val="28"/>
              </w:rPr>
              <w:t>04</w:t>
            </w:r>
            <w:r w:rsidRPr="00107F3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107F3E">
              <w:rPr>
                <w:sz w:val="28"/>
                <w:szCs w:val="28"/>
              </w:rPr>
              <w:t xml:space="preserve"> № </w:t>
            </w:r>
            <w:r w:rsidR="00C46A4B">
              <w:rPr>
                <w:sz w:val="28"/>
                <w:szCs w:val="28"/>
              </w:rPr>
              <w:t>58</w:t>
            </w:r>
          </w:p>
        </w:tc>
      </w:tr>
    </w:tbl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МУНИЦИПАЛЬНАЯ ПРОГРАММА</w:t>
      </w:r>
    </w:p>
    <w:p w:rsidR="00107F3E" w:rsidRPr="00107F3E" w:rsidRDefault="00107F3E" w:rsidP="00107F3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Лихославльского </w:t>
      </w:r>
      <w:r w:rsidR="00F169A1">
        <w:rPr>
          <w:b/>
          <w:sz w:val="28"/>
          <w:szCs w:val="28"/>
        </w:rPr>
        <w:t>муниципального округа</w:t>
      </w:r>
    </w:p>
    <w:p w:rsidR="00107F3E" w:rsidRPr="00457C91" w:rsidRDefault="00457C91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C91">
        <w:rPr>
          <w:b/>
          <w:sz w:val="28"/>
          <w:szCs w:val="28"/>
        </w:rPr>
        <w:t>«Развитие и благоустройство сельских территорий Лихославльского муниципального округа» на 2022-2026 годы</w:t>
      </w:r>
    </w:p>
    <w:p w:rsidR="00107F3E" w:rsidRPr="00107F3E" w:rsidRDefault="00107F3E" w:rsidP="00107F3E">
      <w:pPr>
        <w:autoSpaceDE w:val="0"/>
        <w:autoSpaceDN w:val="0"/>
        <w:adjustRightInd w:val="0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7F3E">
        <w:rPr>
          <w:sz w:val="28"/>
          <w:szCs w:val="28"/>
        </w:rPr>
        <w:t>г. Лихославль</w:t>
      </w:r>
    </w:p>
    <w:p w:rsidR="00457C91" w:rsidRPr="00261E9F" w:rsidRDefault="00107F3E" w:rsidP="00457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sz w:val="28"/>
          <w:szCs w:val="28"/>
        </w:rPr>
        <w:t>20</w:t>
      </w:r>
      <w:r w:rsidR="006A531D">
        <w:rPr>
          <w:sz w:val="28"/>
          <w:szCs w:val="28"/>
        </w:rPr>
        <w:t>2</w:t>
      </w:r>
      <w:r w:rsidR="00F169A1">
        <w:rPr>
          <w:sz w:val="28"/>
          <w:szCs w:val="28"/>
        </w:rPr>
        <w:t>2</w:t>
      </w:r>
      <w:r w:rsidR="000768C2">
        <w:rPr>
          <w:sz w:val="28"/>
          <w:szCs w:val="28"/>
        </w:rPr>
        <w:br w:type="page"/>
      </w:r>
    </w:p>
    <w:p w:rsidR="00457C91" w:rsidRPr="00261E9F" w:rsidRDefault="00457C91" w:rsidP="00457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lastRenderedPageBreak/>
        <w:t xml:space="preserve">Паспорт </w:t>
      </w:r>
    </w:p>
    <w:p w:rsidR="00457C91" w:rsidRPr="00261E9F" w:rsidRDefault="00457C91" w:rsidP="00457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муниципальной программы Лихославльского муниципального округа</w:t>
      </w:r>
    </w:p>
    <w:p w:rsidR="00457C91" w:rsidRPr="00261E9F" w:rsidRDefault="00457C91" w:rsidP="00457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E9F">
        <w:rPr>
          <w:b/>
          <w:sz w:val="28"/>
          <w:szCs w:val="28"/>
        </w:rPr>
        <w:t>«Развитие и благоустройство сельских территорий Лихославльского муниципального округа» на 2022-2026 годы</w:t>
      </w:r>
    </w:p>
    <w:p w:rsidR="00457C91" w:rsidRPr="00261E9F" w:rsidRDefault="00457C91" w:rsidP="00457C91">
      <w:pPr>
        <w:ind w:firstLine="567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C91">
              <w:t>«Развитие и благоустройство сельских территорий Лихославльского муниципального округа» на 2022-2026 годы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7C91">
              <w:t>Управление развитием территорий Лихославльского муниципального округа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 xml:space="preserve">Территориальные отделы: </w:t>
            </w:r>
            <w:proofErr w:type="spellStart"/>
            <w:r w:rsidRPr="00457C91">
              <w:t>Вескинский</w:t>
            </w:r>
            <w:proofErr w:type="spellEnd"/>
            <w:r w:rsidRPr="00457C91">
              <w:t xml:space="preserve">, </w:t>
            </w:r>
            <w:proofErr w:type="spellStart"/>
            <w:r w:rsidRPr="00457C91">
              <w:t>Кавской</w:t>
            </w:r>
            <w:proofErr w:type="spellEnd"/>
            <w:r w:rsidRPr="00457C91">
              <w:t xml:space="preserve">, </w:t>
            </w:r>
            <w:proofErr w:type="spellStart"/>
            <w:r w:rsidRPr="00457C91">
              <w:t>Микшинский</w:t>
            </w:r>
            <w:proofErr w:type="spellEnd"/>
            <w:r w:rsidRPr="00457C91">
              <w:t xml:space="preserve">, </w:t>
            </w:r>
            <w:proofErr w:type="spellStart"/>
            <w:r w:rsidRPr="00457C91">
              <w:t>Сосновицкий</w:t>
            </w:r>
            <w:proofErr w:type="spellEnd"/>
            <w:r w:rsidRPr="00457C91">
              <w:t xml:space="preserve">, Станской, </w:t>
            </w:r>
            <w:proofErr w:type="spellStart"/>
            <w:r w:rsidRPr="00457C91">
              <w:t>Толмачевский</w:t>
            </w:r>
            <w:proofErr w:type="spellEnd"/>
            <w:r w:rsidR="00C46F9B">
              <w:t xml:space="preserve"> 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>2022-2026 годы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 xml:space="preserve">Обеспечение социально-экономического развития сельских территорий, обеспечение условий для развития общественного самоуправления, реализации местных инициатив жителей сельских территорий Лихославльского муниципального округа, направленных на совершенствование комплексного и внешнего благоустройства сельских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сельских территорий, развитие инфраструктуры, создание условий для здорового образа жизни. 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>Подпрограмма 1 «Дорожное хозяйство» (далее - подпрограмма 1),</w:t>
            </w:r>
          </w:p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>Подпрограмма 2 «Благоустройство сельских территорий» (далее - подпрограмма 2),</w:t>
            </w:r>
          </w:p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  <w:r w:rsidRPr="00457C91">
              <w:t>Подпрограмма 3 «Участие в ППМИ в сфере культуры» (далее - подпрограмма 3),</w:t>
            </w:r>
          </w:p>
          <w:p w:rsidR="00457C91" w:rsidRPr="00457C91" w:rsidRDefault="00457C91" w:rsidP="00934F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7C91">
              <w:rPr>
                <w:bCs/>
                <w:color w:val="000000"/>
              </w:rPr>
              <w:t>Обеспечивающая подпрограмма</w:t>
            </w:r>
            <w:r w:rsidRPr="00457C91">
              <w:rPr>
                <w:color w:val="000000"/>
              </w:rPr>
              <w:t xml:space="preserve"> </w:t>
            </w:r>
            <w:r w:rsidRPr="00457C91">
              <w:rPr>
                <w:bCs/>
                <w:color w:val="000000"/>
              </w:rPr>
              <w:t>«Обеспечение деятельности Главного администратора муниципальной программы»</w:t>
            </w: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457C91" w:rsidRPr="00457C91" w:rsidRDefault="00457C91" w:rsidP="00934FF9">
            <w:pPr>
              <w:autoSpaceDE w:val="0"/>
              <w:autoSpaceDN w:val="0"/>
              <w:adjustRightInd w:val="0"/>
              <w:jc w:val="center"/>
            </w:pPr>
            <w:r w:rsidRPr="00457C91">
              <w:br w:type="page"/>
            </w:r>
          </w:p>
        </w:tc>
        <w:tc>
          <w:tcPr>
            <w:tcW w:w="3091" w:type="pct"/>
          </w:tcPr>
          <w:p w:rsidR="00457C91" w:rsidRPr="00457C91" w:rsidRDefault="00457C91" w:rsidP="00457C91">
            <w:pPr>
              <w:pStyle w:val="ConsPlusCell"/>
              <w:numPr>
                <w:ilvl w:val="0"/>
                <w:numId w:val="30"/>
              </w:numPr>
              <w:tabs>
                <w:tab w:val="left" w:pos="-30"/>
                <w:tab w:val="left" w:pos="395"/>
              </w:tabs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457C91" w:rsidRPr="00457C91" w:rsidRDefault="00457C91" w:rsidP="00934FF9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внешнего благоустройства и эстетичного вида</w:t>
            </w:r>
            <w:r w:rsid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сельских территорий, обеспечение санитарного содержания</w:t>
            </w:r>
            <w:r w:rsid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территории и</w:t>
            </w:r>
            <w:r w:rsid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мест захоронения;</w:t>
            </w:r>
          </w:p>
          <w:p w:rsidR="00457C91" w:rsidRPr="00457C91" w:rsidRDefault="00457C91" w:rsidP="00934FF9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457C91" w:rsidRPr="00457C91" w:rsidRDefault="00457C91" w:rsidP="00934FF9">
            <w:pPr>
              <w:autoSpaceDE w:val="0"/>
              <w:autoSpaceDN w:val="0"/>
              <w:adjustRightInd w:val="0"/>
              <w:jc w:val="both"/>
            </w:pPr>
          </w:p>
        </w:tc>
      </w:tr>
      <w:tr w:rsidR="00457C91" w:rsidRPr="00457C91" w:rsidTr="00934FF9">
        <w:tc>
          <w:tcPr>
            <w:tcW w:w="1909" w:type="pct"/>
          </w:tcPr>
          <w:p w:rsidR="00457C91" w:rsidRPr="00457C91" w:rsidRDefault="00457C91" w:rsidP="00934F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457C91" w:rsidRPr="00457C91" w:rsidRDefault="00457C91" w:rsidP="00934FF9">
            <w:pPr>
              <w:jc w:val="both"/>
            </w:pPr>
            <w:r w:rsidRPr="00457C91">
              <w:t xml:space="preserve"> 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 xml:space="preserve">Общий объем финансирования муниципальной программы на 2022-2026 годы – 92 037,0тыс. руб., 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в том числе по годам: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/>
                <w:bCs/>
              </w:rPr>
              <w:t>2022 год</w:t>
            </w:r>
            <w:r w:rsidRPr="00457C91">
              <w:rPr>
                <w:bCs/>
              </w:rPr>
              <w:t xml:space="preserve"> – 20 817,0 тыс. руб., в том числе: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1 -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9287,7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2 -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2057,9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3 -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61,7.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обеспечивающая программа – 9409,7 тыс.руб.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/>
                <w:bCs/>
              </w:rPr>
              <w:t>2023 год</w:t>
            </w:r>
            <w:r w:rsidRPr="00457C91">
              <w:rPr>
                <w:bCs/>
              </w:rPr>
              <w:t xml:space="preserve"> – 18972,5 тыс. руб., в том числе: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1 -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8391,0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2 -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1137,6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3 -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0.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обеспечивающая программа – 9443,9 тыс.руб.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/>
                <w:bCs/>
              </w:rPr>
              <w:t>2024 год</w:t>
            </w:r>
            <w:r w:rsidRPr="00457C91">
              <w:rPr>
                <w:bCs/>
              </w:rPr>
              <w:t xml:space="preserve"> – 17415,5 тыс. руб., в том числе: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1 -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7391,0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2 -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543,6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3 -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0.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обеспечивающая программа – 9480,9 тыс.руб.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/>
                <w:bCs/>
              </w:rPr>
              <w:t>2025 год</w:t>
            </w:r>
            <w:r w:rsidRPr="00457C91">
              <w:rPr>
                <w:bCs/>
              </w:rPr>
              <w:t xml:space="preserve"> – 17415,5 тыс. руб., в том числе: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1 -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7391,0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2 -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543,6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3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0.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обеспечивающая программа – 9480,9 тыс.руб.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/>
                <w:bCs/>
              </w:rPr>
              <w:t>2026 год</w:t>
            </w:r>
            <w:r w:rsidRPr="00457C91">
              <w:rPr>
                <w:bCs/>
              </w:rPr>
              <w:t xml:space="preserve"> – 17416,5 тыс. руб., в том числе: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1 -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7391,0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2 -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543,6 тыс.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подпрограмма 3 -</w:t>
            </w:r>
            <w:r w:rsidR="00C46F9B">
              <w:rPr>
                <w:bCs/>
              </w:rPr>
              <w:t xml:space="preserve"> </w:t>
            </w:r>
            <w:r w:rsidRPr="00457C91">
              <w:rPr>
                <w:bCs/>
              </w:rPr>
              <w:t>1,0. руб.,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  <w:r w:rsidRPr="00457C91">
              <w:rPr>
                <w:bCs/>
              </w:rPr>
              <w:t>обеспечивающая программа – 9480,9 тыс.руб.</w:t>
            </w:r>
          </w:p>
          <w:p w:rsidR="00457C91" w:rsidRPr="00457C91" w:rsidRDefault="00457C91" w:rsidP="00934FF9">
            <w:pPr>
              <w:jc w:val="both"/>
              <w:rPr>
                <w:bCs/>
              </w:rPr>
            </w:pPr>
          </w:p>
        </w:tc>
      </w:tr>
    </w:tbl>
    <w:p w:rsidR="00457C91" w:rsidRPr="00261E9F" w:rsidRDefault="00457C91" w:rsidP="00457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C91" w:rsidRPr="00261E9F" w:rsidRDefault="00457C91" w:rsidP="00457C91">
      <w:pPr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Раздел </w:t>
      </w:r>
      <w:r w:rsidRPr="00261E9F">
        <w:rPr>
          <w:b/>
          <w:sz w:val="28"/>
          <w:szCs w:val="28"/>
          <w:lang w:val="en-US"/>
        </w:rPr>
        <w:t>I</w:t>
      </w:r>
    </w:p>
    <w:p w:rsidR="00457C91" w:rsidRPr="00261E9F" w:rsidRDefault="00457C91" w:rsidP="00457C91">
      <w:pPr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457C91" w:rsidRPr="00261E9F" w:rsidRDefault="00457C91" w:rsidP="00457C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1</w:t>
      </w:r>
    </w:p>
    <w:p w:rsidR="00457C91" w:rsidRPr="00261E9F" w:rsidRDefault="00457C91" w:rsidP="00457C91">
      <w:pPr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Общая характеристика сферы реализации муниципальной программы </w:t>
      </w:r>
    </w:p>
    <w:p w:rsidR="00457C91" w:rsidRPr="00261E9F" w:rsidRDefault="00457C91" w:rsidP="00457C91">
      <w:pPr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и прогноз ее развития</w:t>
      </w:r>
    </w:p>
    <w:p w:rsidR="00457C91" w:rsidRPr="00261E9F" w:rsidRDefault="00457C91" w:rsidP="006C789D">
      <w:pPr>
        <w:ind w:firstLine="709"/>
        <w:jc w:val="both"/>
        <w:rPr>
          <w:sz w:val="28"/>
          <w:szCs w:val="28"/>
        </w:rPr>
      </w:pPr>
    </w:p>
    <w:p w:rsidR="00457C91" w:rsidRPr="00261E9F" w:rsidRDefault="00457C91" w:rsidP="006C789D">
      <w:pPr>
        <w:pStyle w:val="a8"/>
        <w:ind w:left="0"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1.</w:t>
      </w:r>
      <w:r w:rsidR="006C789D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На территории Лихославльского муниципального округа создано 6 территориальных единиц. </w:t>
      </w:r>
    </w:p>
    <w:p w:rsidR="00457C91" w:rsidRPr="00261E9F" w:rsidRDefault="00457C91" w:rsidP="006C789D">
      <w:pPr>
        <w:pStyle w:val="a8"/>
        <w:ind w:left="0"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2. Муниципальная программа охватывает все основные направления деятельности органов местного самоуправления, а именно:</w:t>
      </w:r>
    </w:p>
    <w:p w:rsidR="00457C91" w:rsidRPr="00261E9F" w:rsidRDefault="00457C91" w:rsidP="006C7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в сфере национальной экономики (дорожное хозяйство (дорожные фонды)),</w:t>
      </w:r>
    </w:p>
    <w:p w:rsidR="00457C91" w:rsidRPr="00261E9F" w:rsidRDefault="00457C91" w:rsidP="006C7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в сфере жилищно-коммунального хозяйства (благоустройство),</w:t>
      </w:r>
    </w:p>
    <w:p w:rsidR="00457C91" w:rsidRPr="00261E9F" w:rsidRDefault="00457C91" w:rsidP="006C789D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Анализ сложившейся ситуации показал, что для </w:t>
      </w:r>
      <w:r w:rsidR="00A955EC">
        <w:rPr>
          <w:color w:val="000000"/>
          <w:sz w:val="28"/>
          <w:szCs w:val="28"/>
        </w:rPr>
        <w:t>качественного функционирования А</w:t>
      </w:r>
      <w:r w:rsidRPr="00261E9F">
        <w:rPr>
          <w:color w:val="000000"/>
          <w:sz w:val="28"/>
          <w:szCs w:val="28"/>
        </w:rPr>
        <w:t>дминистрации Лихославльского муниципального округа</w:t>
      </w:r>
      <w:r w:rsidR="00C46F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её отраслевых (функциональных) органов, </w:t>
      </w:r>
      <w:r w:rsidRPr="00261E9F">
        <w:rPr>
          <w:color w:val="000000"/>
          <w:sz w:val="28"/>
          <w:szCs w:val="28"/>
        </w:rPr>
        <w:t xml:space="preserve">благоустроенность территорий и участие </w:t>
      </w:r>
      <w:r w:rsidRPr="00261E9F">
        <w:rPr>
          <w:color w:val="000000"/>
          <w:sz w:val="28"/>
          <w:szCs w:val="28"/>
        </w:rPr>
        <w:lastRenderedPageBreak/>
        <w:t>населения в данных мероприятиях имеет весомое значение. Данная сфера формирует общее впечатление о муниципал</w:t>
      </w:r>
      <w:r>
        <w:rPr>
          <w:color w:val="000000"/>
          <w:sz w:val="28"/>
          <w:szCs w:val="28"/>
        </w:rPr>
        <w:t>ьном образовании</w:t>
      </w:r>
      <w:r w:rsidRPr="00261E9F">
        <w:rPr>
          <w:color w:val="000000"/>
          <w:sz w:val="28"/>
          <w:szCs w:val="28"/>
        </w:rPr>
        <w:t xml:space="preserve">, обеспечивает его туристическую привлекательность, является воспитательным фактором и является важнейшим аспектом в вопросах </w:t>
      </w:r>
      <w:r w:rsidRPr="00261E9F">
        <w:rPr>
          <w:sz w:val="28"/>
          <w:szCs w:val="28"/>
        </w:rPr>
        <w:t xml:space="preserve">создания благоприятных, здоровых и культурных условий жизни, трудовой деятельности и отдыха населения в границах </w:t>
      </w:r>
      <w:r>
        <w:rPr>
          <w:sz w:val="28"/>
          <w:szCs w:val="28"/>
        </w:rPr>
        <w:t xml:space="preserve">Лихославльского </w:t>
      </w:r>
      <w:r w:rsidRPr="00261E9F">
        <w:rPr>
          <w:sz w:val="28"/>
          <w:szCs w:val="28"/>
        </w:rPr>
        <w:t>муниципального округа</w:t>
      </w:r>
      <w:r w:rsidRPr="00261E9F">
        <w:rPr>
          <w:color w:val="000000"/>
          <w:sz w:val="28"/>
          <w:szCs w:val="28"/>
        </w:rPr>
        <w:t xml:space="preserve">. </w:t>
      </w:r>
    </w:p>
    <w:p w:rsidR="00457C91" w:rsidRPr="00261E9F" w:rsidRDefault="00457C91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Мероприятия Программы предполагают вовлечение населения в выполнение комплекса работ, направленных на сохранение, восстановление, а также совершенствование объектов внешнего благоустройства, приспособленных и обустроенных для использования неограниченным кругом лиц в целях досуга, проведения массовых мероприятий, организации пешеходных и транспортных потоков. Определение и решение точечных задач (проблем) обустроенности территорий.</w:t>
      </w:r>
    </w:p>
    <w:p w:rsidR="00457C91" w:rsidRPr="00261E9F" w:rsidRDefault="00457C91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На протяжении последних лет</w:t>
      </w:r>
      <w:r>
        <w:rPr>
          <w:sz w:val="28"/>
          <w:szCs w:val="28"/>
        </w:rPr>
        <w:t xml:space="preserve"> на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территориях</w:t>
      </w:r>
      <w:r w:rsidRPr="00261E9F">
        <w:rPr>
          <w:sz w:val="28"/>
          <w:szCs w:val="28"/>
        </w:rPr>
        <w:t xml:space="preserve"> произошло качественное улучшение состояния </w:t>
      </w:r>
      <w:r>
        <w:rPr>
          <w:sz w:val="28"/>
          <w:szCs w:val="28"/>
        </w:rPr>
        <w:t>населенных пунктов</w:t>
      </w:r>
      <w:r w:rsidRPr="00261E9F">
        <w:rPr>
          <w:sz w:val="28"/>
          <w:szCs w:val="28"/>
        </w:rPr>
        <w:t>: практически полностью было восстановлено и заменено уличное освещение, по инициативе жителей были обустроены зоны отдыха,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скверы, парки, отремонтированы воинские захоронения, мемориалы,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обелиски,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появились спортивные зоны, велась работа по комплексному благоустройство дворовых территорий, обустраивались дворовые детские площадки,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а также детские площадки на территории мест массового </w:t>
      </w:r>
      <w:r w:rsidR="001F13E6">
        <w:rPr>
          <w:sz w:val="28"/>
          <w:szCs w:val="28"/>
        </w:rPr>
        <w:t>отдыха. Однако, еще много мест на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территориях</w:t>
      </w:r>
      <w:r w:rsidRPr="00261E9F">
        <w:rPr>
          <w:sz w:val="28"/>
          <w:szCs w:val="28"/>
        </w:rPr>
        <w:t>, которые нуждаются в комплексном обновлении и не отвечают современным потребностям жителей. Установленные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объекты благоустройства требуют поддержания их на должном уровне, ремонте и обновлении. За последние годы требования к элементам благоустройства, в том числе на законодательном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уровне увеличиваются и существующие элементы благоустройства не в полной мере обеспечивают комфортные условия для жизни и деятельности населения, а соответственно нуждаются в своевременном ремонте, замене и последующем качественном содержании. </w:t>
      </w:r>
    </w:p>
    <w:p w:rsidR="00457C91" w:rsidRPr="00261E9F" w:rsidRDefault="00457C91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В том числе требуют обновления и имеющиеся на </w:t>
      </w:r>
      <w:r>
        <w:rPr>
          <w:sz w:val="28"/>
          <w:szCs w:val="28"/>
        </w:rPr>
        <w:t xml:space="preserve">сельских </w:t>
      </w:r>
      <w:r w:rsidRPr="00261E9F">
        <w:rPr>
          <w:sz w:val="28"/>
          <w:szCs w:val="28"/>
        </w:rPr>
        <w:t>территориях зеленые насаждения. Часть из них достигла состояния естественного старения и нуждаются в особом уходе либо замене новыми насаждениями, часть находится в аварийном состоянии и требует срочного удаления в целях предотвращения чрезвычайных ситуаций. Имеются места, заросшие сорной растительностью.</w:t>
      </w:r>
    </w:p>
    <w:p w:rsidR="00457C91" w:rsidRPr="00261E9F" w:rsidRDefault="00457C91" w:rsidP="00457C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В рамках программы по развитию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261E9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Pr="00261E9F">
        <w:rPr>
          <w:rFonts w:ascii="Times New Roman" w:hAnsi="Times New Roman" w:cs="Times New Roman"/>
          <w:sz w:val="28"/>
          <w:szCs w:val="28"/>
        </w:rPr>
        <w:t>планируется создание дополнительных зон отдыха.</w:t>
      </w:r>
    </w:p>
    <w:p w:rsidR="00457C91" w:rsidRPr="00261E9F" w:rsidRDefault="00457C91" w:rsidP="00457C91">
      <w:pPr>
        <w:pStyle w:val="ConsPlusNormal"/>
        <w:widowControl/>
        <w:tabs>
          <w:tab w:val="left" w:pos="8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E9F">
        <w:rPr>
          <w:rFonts w:ascii="Times New Roman" w:hAnsi="Times New Roman" w:cs="Times New Roman"/>
          <w:color w:val="000000"/>
          <w:sz w:val="28"/>
          <w:szCs w:val="28"/>
        </w:rPr>
        <w:t>Ожидаемым эффектом</w:t>
      </w:r>
      <w:r w:rsidR="00C4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E9F">
        <w:rPr>
          <w:rFonts w:ascii="Times New Roman" w:hAnsi="Times New Roman" w:cs="Times New Roman"/>
          <w:color w:val="000000"/>
          <w:sz w:val="28"/>
          <w:szCs w:val="28"/>
        </w:rPr>
        <w:t>от обустройства дополнительных зон отдыха является обеспечение условий для качественной жизни</w:t>
      </w:r>
      <w:r w:rsidR="00C4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3E6">
        <w:rPr>
          <w:rFonts w:ascii="Times New Roman" w:hAnsi="Times New Roman" w:cs="Times New Roman"/>
          <w:color w:val="000000"/>
          <w:sz w:val="28"/>
          <w:szCs w:val="28"/>
        </w:rPr>
        <w:t>жителей сельских территорий</w:t>
      </w:r>
      <w:r w:rsidRPr="00261E9F">
        <w:rPr>
          <w:rFonts w:ascii="Times New Roman" w:hAnsi="Times New Roman" w:cs="Times New Roman"/>
          <w:color w:val="000000"/>
          <w:sz w:val="28"/>
          <w:szCs w:val="28"/>
        </w:rPr>
        <w:t>, их культурного отдыха и досуга.</w:t>
      </w:r>
    </w:p>
    <w:p w:rsidR="00457C91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Для улучшения сложившейся ситуации необходимо продолжать комплексное благоустройство дворовых территорий, капитальный ремонт дворовых проездов, тротуаров, восстановление существующих и строительство новых детских игровых площадок с установкой малых архитектурных форм.</w:t>
      </w:r>
    </w:p>
    <w:p w:rsidR="00457C91" w:rsidRPr="00261E9F" w:rsidRDefault="00457C91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Продолжает оставаться проблемой небрежное отношение к элементам благоустройства отдельных граждан, которые приводят в негодность детские </w:t>
      </w:r>
      <w:r w:rsidRPr="00261E9F">
        <w:rPr>
          <w:color w:val="000000"/>
          <w:sz w:val="28"/>
          <w:szCs w:val="28"/>
        </w:rPr>
        <w:lastRenderedPageBreak/>
        <w:t>площадки, разрушают и разрисовывают фасады зданий, образуют несанкционированные свалки мусора.</w:t>
      </w:r>
    </w:p>
    <w:p w:rsidR="00457C91" w:rsidRPr="00261E9F" w:rsidRDefault="00457C91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Считается, что причиной такого небережливого отношения, заключается в низком уровне воспитания и культуры поведения таких граждан. </w:t>
      </w:r>
    </w:p>
    <w:p w:rsidR="00457C91" w:rsidRPr="00261E9F" w:rsidRDefault="00457C91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Вместе с тем, за последние годы вырос интерес жителей к участию в выборе объектов благоустройства. Пришло понимание возможности соучастия в выборе объектов благоустройства, их наполнения и установки очередности.</w:t>
      </w:r>
    </w:p>
    <w:p w:rsidR="00457C91" w:rsidRPr="00261E9F" w:rsidRDefault="00457C91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Необходимо продолжать работу по вовлечению населения в решение насущных проблем тех или иных территорий, совместно разрабатывать конкретные мероприятия по их решению.</w:t>
      </w:r>
    </w:p>
    <w:p w:rsidR="00457C91" w:rsidRPr="00261E9F" w:rsidRDefault="00457C91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Одним из мероприятий Программы является участие </w:t>
      </w:r>
      <w:r>
        <w:rPr>
          <w:color w:val="000000"/>
          <w:sz w:val="28"/>
          <w:szCs w:val="28"/>
        </w:rPr>
        <w:t>территориальных отделов</w:t>
      </w:r>
      <w:r w:rsidR="00C46F9B">
        <w:rPr>
          <w:color w:val="000000"/>
          <w:sz w:val="28"/>
          <w:szCs w:val="28"/>
        </w:rPr>
        <w:t xml:space="preserve"> </w:t>
      </w:r>
      <w:r w:rsidRPr="00261E9F">
        <w:rPr>
          <w:color w:val="000000"/>
          <w:sz w:val="28"/>
          <w:szCs w:val="28"/>
        </w:rPr>
        <w:t>в областном конкурсе по Программе поддержки местных инициатив, областном и федеральном конкурсе Лучшая муниципальная практика и другие.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Программа поддержки местных инициатив (далее – ППМИ) является одной из практик инициативного бюджетирования, которые все шире и активнее реализуются как в Российской Федерации, так и во многих зарубежных странах. В основе инициативного бюджетирования лежит концепция непосредственного вовлечения граждан в решение вопросов местного значения и, в частности, в решение о выборе приоритетных направлений расходования части бюджетных средств на муниципальном, региональном или национальном уровне, а также последующий контроль за реализацией этих решений.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Цели данных конкурсных мероприятий является повышение эффективности решения проблем местного уровня (прежде всего, связанных с развитием общественной инфраструктуры на местах) за счет эффективного вовлечения населения, бизнеса, организаций</w:t>
      </w:r>
      <w:r w:rsidR="00C46F9B">
        <w:rPr>
          <w:color w:val="000000"/>
          <w:sz w:val="28"/>
          <w:szCs w:val="28"/>
        </w:rPr>
        <w:t xml:space="preserve"> </w:t>
      </w:r>
      <w:r w:rsidRPr="00261E9F">
        <w:rPr>
          <w:color w:val="000000"/>
          <w:sz w:val="28"/>
          <w:szCs w:val="28"/>
        </w:rPr>
        <w:t>в решение соответствующих проблем, а также мобилизации и повышения эффективности использования финансовых средств, доступных на местном уровне. Данная цель достигается за счет финансовой и организационной поддержки совместных инициатив населения и администрации, направленных на решение социальных проблем местного уровня, развития потенциала органов местного самоуправления и расширения участия граждан в их деятельности, включая участие в планировании расходования бюджетных средств муниципального образования. В результате реализации Про</w:t>
      </w:r>
      <w:r>
        <w:rPr>
          <w:color w:val="000000"/>
          <w:sz w:val="28"/>
          <w:szCs w:val="28"/>
        </w:rPr>
        <w:t>граммы</w:t>
      </w:r>
      <w:r w:rsidRPr="00261E9F">
        <w:rPr>
          <w:color w:val="000000"/>
          <w:sz w:val="28"/>
          <w:szCs w:val="28"/>
        </w:rPr>
        <w:t xml:space="preserve"> решаются следующие практические задачи: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создание или восстановление объектов социальной и инженерной инфраструктуры местного уровня, необходимых для предоставления качественных услуг населению;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поддержка социальных инноваций на местном уровне;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передача заинтересованным лицам, вовлеченным в ППМИ, знаний и опыта в планировании, разработке и осуществлении программ и проектов развития общественной инфраструктуры сельских территорий, в управлении бюджетом и в других сферах, связанных с эффективным самоуправлением;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дальнейшее развитие механизмов взаимодействия власти и населения за счет практической совместной работы по выявлению и согласованию социальных приоритетов, выбору, реализации и мониторингу </w:t>
      </w:r>
      <w:proofErr w:type="spellStart"/>
      <w:r w:rsidRPr="00261E9F">
        <w:rPr>
          <w:color w:val="000000"/>
          <w:sz w:val="28"/>
          <w:szCs w:val="28"/>
        </w:rPr>
        <w:t>микропроектов</w:t>
      </w:r>
      <w:proofErr w:type="spellEnd"/>
      <w:r w:rsidRPr="00261E9F">
        <w:rPr>
          <w:color w:val="000000"/>
          <w:sz w:val="28"/>
          <w:szCs w:val="28"/>
        </w:rPr>
        <w:t xml:space="preserve">;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lastRenderedPageBreak/>
        <w:t xml:space="preserve">– повышение эффективности бюджетных расходов путем вовлечения общественности в процессы принятия решений на местном уровне и усиления общественного контроля за реализацией </w:t>
      </w:r>
      <w:proofErr w:type="spellStart"/>
      <w:r w:rsidRPr="00261E9F">
        <w:rPr>
          <w:color w:val="000000"/>
          <w:sz w:val="28"/>
          <w:szCs w:val="28"/>
        </w:rPr>
        <w:t>микропроектов</w:t>
      </w:r>
      <w:proofErr w:type="spellEnd"/>
      <w:r w:rsidRPr="00261E9F">
        <w:rPr>
          <w:color w:val="000000"/>
          <w:sz w:val="28"/>
          <w:szCs w:val="28"/>
        </w:rPr>
        <w:t xml:space="preserve">. </w:t>
      </w:r>
    </w:p>
    <w:p w:rsidR="00457C91" w:rsidRPr="00261E9F" w:rsidRDefault="00457C91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Долгосрочными эффектами Программы являются рост удовлетворенности населения работой органов местного самоуправления и качеством использования бюджетных средств, минимизация иждивенческих настроений со стороны населения и активизация его участия в местном развитии, укрепление взаим</w:t>
      </w:r>
      <w:r>
        <w:rPr>
          <w:color w:val="000000"/>
          <w:sz w:val="28"/>
          <w:szCs w:val="28"/>
        </w:rPr>
        <w:t xml:space="preserve">ного доверия населения и власти, </w:t>
      </w:r>
      <w:r w:rsidRPr="00261E9F">
        <w:rPr>
          <w:color w:val="000000"/>
          <w:sz w:val="28"/>
          <w:szCs w:val="28"/>
        </w:rPr>
        <w:t>также, повышение культуры поведения жителей, их личной заинтересованности в бережном отношении к элементам благоустройства, привлечение к участию в работах по благоустройству, санитарному и гигиеническому содержанию прилегающих территорий.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2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Основные проблемы в сфере реализации муниципальной 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3.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а) при планировании бюджетных ассигнований по различным направлениям в условиях </w:t>
      </w:r>
      <w:r w:rsidRPr="00261E9F">
        <w:rPr>
          <w:rFonts w:ascii="Times New Roman" w:hAnsi="Times New Roman" w:cs="Times New Roman"/>
          <w:sz w:val="28"/>
          <w:szCs w:val="28"/>
        </w:rPr>
        <w:t>нестабильной доходной базы местных бюджетов возможно возникновение дополнительной финансовой нагрузки по ряду направлений без увеличения трансфертов, что в свою очередь приводит к необходимости перераспределения имеющихся бюджетных ассигнований в ущерб запланированным ранее обязательствам;</w:t>
      </w:r>
    </w:p>
    <w:p w:rsidR="00457C91" w:rsidRPr="00261E9F" w:rsidRDefault="00457C91" w:rsidP="00457C91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при администрировании муниципальной программы, которая содержит подпрограммы по различным самостоятельным направлениям деятельности, требуются различные методики оценки деятельности исполнительных органов местного самоуправления, в том числе оценки эффективности использования ими финансовых ресурсов. Это усложняет процесс контроля за ходом реализации муниципальной программы.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Подраздел 3</w:t>
      </w:r>
    </w:p>
    <w:p w:rsidR="00457C91" w:rsidRPr="00261E9F" w:rsidRDefault="00457C91" w:rsidP="00457C91">
      <w:pPr>
        <w:suppressAutoHyphens/>
        <w:ind w:firstLine="567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457C91" w:rsidRPr="00261E9F" w:rsidRDefault="00457C91" w:rsidP="00457C91">
      <w:pPr>
        <w:suppressAutoHyphens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261E9F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являются: 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а) установление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реализации муниципальной программы, и по своей сути являющихся её потенциальным ресурсом;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б) установление отрицательного влияния внешней и внутренней среды на сферу реализации муниципальной программы в виде событий или условий, наступление 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которых может оказать неблагоприятное воздействие на реализацию муниципальной программы и по своей сути является потенциальным ограничением сферы реализации муниципальной программы.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5. К положительному влиянию на сферы реализации муниципальной программы (потенциальному ресурсу муниципальной программы) относятся: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а) фактор влияния внешней среды - наличие достаточных налоговых поступлений в бюджет Лихославльского муниципального округа для обеспечения потребности в финансовых средствах для каждой сферы реализации муниципальной программы;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б) фактор влияния внутренней среды - наличие нормативной правовой базы Лихославльского муниципального округа по вопросам, касающимся соответствующих сфер реализации муниципальной программы.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6. К отрицательному влиянию на сферу реализации муниципальной программы (потенциальному ограничению сферы реализации муниципальной программы), относятся: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  <w:lang w:eastAsia="en-US"/>
        </w:rPr>
        <w:t xml:space="preserve">а) факторы влияния внешней среды - </w:t>
      </w:r>
      <w:r w:rsidRPr="00261E9F">
        <w:rPr>
          <w:sz w:val="28"/>
          <w:szCs w:val="28"/>
        </w:rPr>
        <w:t xml:space="preserve">недостаточная эффективность государственных вложений;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261E9F">
        <w:rPr>
          <w:sz w:val="28"/>
          <w:szCs w:val="28"/>
        </w:rPr>
        <w:t>- отсутствие оценки экономических последствий принимаемых решений</w:t>
      </w:r>
      <w:r w:rsidRPr="00261E9F">
        <w:rPr>
          <w:sz w:val="28"/>
          <w:szCs w:val="28"/>
          <w:lang w:eastAsia="en-US"/>
        </w:rPr>
        <w:t xml:space="preserve">;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  <w:lang w:eastAsia="en-US"/>
        </w:rPr>
        <w:t xml:space="preserve">- </w:t>
      </w:r>
      <w:r w:rsidRPr="00261E9F">
        <w:rPr>
          <w:sz w:val="28"/>
          <w:szCs w:val="28"/>
        </w:rPr>
        <w:t>отсутствие целостной системы стратегического планирования</w:t>
      </w:r>
      <w:r w:rsidRPr="00261E9F">
        <w:rPr>
          <w:sz w:val="28"/>
          <w:szCs w:val="28"/>
          <w:lang w:eastAsia="en-US"/>
        </w:rPr>
        <w:t>.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б) фактор влияния внутренней среды - </w:t>
      </w:r>
      <w:r w:rsidRPr="00261E9F">
        <w:rPr>
          <w:rFonts w:ascii="Times New Roman" w:hAnsi="Times New Roman" w:cs="Times New Roman"/>
          <w:sz w:val="28"/>
          <w:szCs w:val="28"/>
        </w:rPr>
        <w:t>наличие нестабильной доходной базы бюджета Лихославльского муниципального округа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  <w:lang w:eastAsia="en-US"/>
        </w:rPr>
        <w:t>- наличие просроченной кредиторской задолженности</w:t>
      </w:r>
      <w:r w:rsidRPr="00261E9F">
        <w:rPr>
          <w:sz w:val="28"/>
          <w:szCs w:val="28"/>
        </w:rPr>
        <w:t xml:space="preserve"> и высокого уровня муниципального долга Лихославльского муниципального округа</w:t>
      </w:r>
      <w:r w:rsidRPr="00261E9F">
        <w:rPr>
          <w:sz w:val="28"/>
          <w:szCs w:val="28"/>
          <w:lang w:eastAsia="en-US"/>
        </w:rPr>
        <w:t>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наличие необходимости ежегодного увеличения объема муниципальных заимствований в связи с ростом расходов бюджета Лихославльского муниципального округа;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отсутствие методик оценки деятельности органов местного самоуправления Лихославльского муниципального округа и эффективности использования ими финансовых ресурсов</w:t>
      </w:r>
      <w:r w:rsidRPr="00261E9F">
        <w:rPr>
          <w:sz w:val="28"/>
          <w:szCs w:val="28"/>
          <w:lang w:eastAsia="en-US"/>
        </w:rPr>
        <w:t>.</w:t>
      </w:r>
    </w:p>
    <w:p w:rsidR="00457C91" w:rsidRPr="00261E9F" w:rsidRDefault="00457C91" w:rsidP="00457C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Подраздел 4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Перечень приоритетов политики в сфере реализации муниципальной 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7. Приоритетами политики во всех сферах реализации муниципальной программы являются: 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повышение эффективности стратегического и оперативного планирования и анализа показателей задач и мероприятий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повышение информационной открытости органов местного самоуправления Лихославльского муниципального округа при реализации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активное вовлечение общественного сектора в решение социально значимых проблем сельских территорий;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г) оценка качества работы органов местного самоуправления Лихославльского муниципального округа по результатам деятельности и эффективности во всех сферах реализации муниципальной программы.</w:t>
      </w: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Подраздел 5</w:t>
      </w: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iCs/>
          <w:kern w:val="24"/>
          <w:sz w:val="28"/>
          <w:szCs w:val="28"/>
        </w:rPr>
        <w:t xml:space="preserve">Главный </w:t>
      </w:r>
      <w:r w:rsidRPr="00261E9F">
        <w:rPr>
          <w:sz w:val="28"/>
          <w:szCs w:val="28"/>
        </w:rPr>
        <w:t xml:space="preserve">администратор, администраторы муниципальной программы. </w:t>
      </w:r>
    </w:p>
    <w:p w:rsidR="00457C91" w:rsidRPr="00261E9F" w:rsidRDefault="00457C91" w:rsidP="00457C91">
      <w:pPr>
        <w:suppressAutoHyphens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pStyle w:val="aff0"/>
        <w:tabs>
          <w:tab w:val="left" w:pos="-2244"/>
        </w:tabs>
        <w:suppressAutoHyphens/>
        <w:spacing w:after="0"/>
        <w:ind w:firstLine="567"/>
        <w:jc w:val="both"/>
        <w:rPr>
          <w:bCs/>
          <w:sz w:val="28"/>
          <w:szCs w:val="28"/>
        </w:rPr>
      </w:pPr>
      <w:r w:rsidRPr="00261E9F">
        <w:rPr>
          <w:bCs/>
          <w:sz w:val="28"/>
          <w:szCs w:val="28"/>
        </w:rPr>
        <w:t>8. Реализация муниципальной программы осуществляется на основе законодательства Российской Федерации, действующих нормативных правовых актов Тверской области и Лихославльского муниципального округа.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9. Программа реализуется ее главным администратором – Управление развитием территорий администрации Лихославльского муниципального округа, которое осуществляет: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а) распределение работы по реализации отдельных подпрограмм муниципальной программы и ответственности за ее реализацию между структурными подразделениями и исполнителями главного администратора программы (далее – администраторы); 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оперативное принятие решений, обеспечение согласованности взаимодействия администраторов при реализации муниципальной программы;</w:t>
      </w:r>
    </w:p>
    <w:p w:rsidR="00457C91" w:rsidRPr="00261E9F" w:rsidRDefault="00457C91" w:rsidP="00457C91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обеспечение принятия необходимых нормативных правовых актов, приказов, методических рекомендаций по реализации программы;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г) учет, контроль и анализ реализации программы.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10. Главный администратор муниципальной программы определяет формы и методы управления реализацией муниципальной программы.</w:t>
      </w:r>
    </w:p>
    <w:p w:rsidR="00457C91" w:rsidRPr="00261E9F" w:rsidRDefault="00457C91" w:rsidP="00457C91">
      <w:pPr>
        <w:pStyle w:val="ConsPlusNormal"/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 xml:space="preserve">Ежегодно в срок до 15 января главный администратор муниципальной программы осуществляет разработку плана реализации муниципальной программы. </w:t>
      </w:r>
    </w:p>
    <w:p w:rsidR="00457C91" w:rsidRPr="00261E9F" w:rsidRDefault="00457C91" w:rsidP="00457C91">
      <w:pPr>
        <w:pStyle w:val="ConsPlusNormal"/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9F">
        <w:rPr>
          <w:rFonts w:ascii="Times New Roman" w:hAnsi="Times New Roman" w:cs="Times New Roman"/>
          <w:bCs/>
          <w:sz w:val="28"/>
          <w:szCs w:val="28"/>
        </w:rPr>
        <w:t>В ходе реализации муниципальной программы главный администратор ежегодно уточняет целевые показатели, с учетом имеющихся финансовых средств, состав администраторов.</w:t>
      </w:r>
    </w:p>
    <w:p w:rsidR="00457C91" w:rsidRPr="00261E9F" w:rsidRDefault="00457C91" w:rsidP="00457C91">
      <w:pPr>
        <w:suppressAutoHyphens/>
        <w:ind w:firstLine="567"/>
        <w:jc w:val="both"/>
        <w:rPr>
          <w:bCs/>
          <w:sz w:val="28"/>
          <w:szCs w:val="28"/>
        </w:rPr>
      </w:pPr>
      <w:r w:rsidRPr="00261E9F">
        <w:rPr>
          <w:bCs/>
          <w:sz w:val="28"/>
          <w:szCs w:val="28"/>
        </w:rPr>
        <w:t>11. Администраторами муниципальной программы являются: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а) </w:t>
      </w:r>
      <w:r>
        <w:rPr>
          <w:sz w:val="28"/>
          <w:szCs w:val="28"/>
        </w:rPr>
        <w:t>территориальные отделы Управления -</w:t>
      </w:r>
      <w:r w:rsidRPr="00BC2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Сосновицкий</w:t>
      </w:r>
      <w:proofErr w:type="spellEnd"/>
      <w:r>
        <w:rPr>
          <w:sz w:val="28"/>
          <w:szCs w:val="28"/>
        </w:rPr>
        <w:t xml:space="preserve">, Станской, </w:t>
      </w:r>
      <w:proofErr w:type="spellStart"/>
      <w:r>
        <w:rPr>
          <w:sz w:val="28"/>
          <w:szCs w:val="28"/>
        </w:rPr>
        <w:t>Толмачевский</w:t>
      </w:r>
      <w:proofErr w:type="spellEnd"/>
      <w:r>
        <w:rPr>
          <w:sz w:val="28"/>
          <w:szCs w:val="28"/>
        </w:rPr>
        <w:t>.</w:t>
      </w:r>
    </w:p>
    <w:p w:rsidR="00457C91" w:rsidRPr="00261E9F" w:rsidRDefault="00457C91" w:rsidP="00457C91">
      <w:pPr>
        <w:suppressAutoHyphens/>
        <w:ind w:firstLine="567"/>
        <w:jc w:val="both"/>
        <w:rPr>
          <w:bCs/>
          <w:sz w:val="28"/>
          <w:szCs w:val="28"/>
        </w:rPr>
      </w:pPr>
      <w:r w:rsidRPr="00261E9F">
        <w:rPr>
          <w:sz w:val="28"/>
          <w:szCs w:val="28"/>
        </w:rPr>
        <w:t>12. Администраторы муниципальной программы выполняют следующие функции</w:t>
      </w:r>
      <w:r w:rsidRPr="00261E9F">
        <w:rPr>
          <w:bCs/>
          <w:sz w:val="28"/>
          <w:szCs w:val="28"/>
        </w:rPr>
        <w:t>:</w:t>
      </w:r>
    </w:p>
    <w:p w:rsidR="00457C91" w:rsidRPr="00261E9F" w:rsidRDefault="00457C91" w:rsidP="00457C91">
      <w:pPr>
        <w:suppressAutoHyphens/>
        <w:ind w:firstLine="567"/>
        <w:jc w:val="both"/>
        <w:rPr>
          <w:bCs/>
          <w:sz w:val="28"/>
          <w:szCs w:val="28"/>
        </w:rPr>
      </w:pPr>
      <w:r w:rsidRPr="00261E9F">
        <w:rPr>
          <w:bCs/>
          <w:sz w:val="28"/>
          <w:szCs w:val="28"/>
        </w:rPr>
        <w:t xml:space="preserve">а) осуществляют разработку нормативно - правовой базы, сбор, анализ данных о состоянии объектов контроля и подготовку информации и предложений по </w:t>
      </w:r>
      <w:r w:rsidRPr="00261E9F">
        <w:rPr>
          <w:sz w:val="28"/>
          <w:szCs w:val="28"/>
        </w:rPr>
        <w:t xml:space="preserve">муниципальной </w:t>
      </w:r>
      <w:r w:rsidRPr="00261E9F">
        <w:rPr>
          <w:bCs/>
          <w:sz w:val="28"/>
          <w:szCs w:val="28"/>
        </w:rPr>
        <w:t>программе на стадии ее формирования;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обеспечивают реализацию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в части своевременного и полного исполнения своих блоков в соответствии с распределением обязанностей;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bCs/>
          <w:sz w:val="28"/>
          <w:szCs w:val="28"/>
        </w:rPr>
        <w:t>в)</w:t>
      </w:r>
      <w:r w:rsidRPr="00261E9F">
        <w:rPr>
          <w:sz w:val="28"/>
          <w:szCs w:val="28"/>
        </w:rPr>
        <w:t xml:space="preserve"> подготавливают и предоставляют главному администратору муниципальной программы необходимые сведения об исполнении муниципальной программы по своему блоку для формирования отчета о реализации муниципальной программы за отчетный финансовый год;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г) участвуют в </w:t>
      </w:r>
      <w:r w:rsidRPr="00261E9F">
        <w:rPr>
          <w:bCs/>
          <w:sz w:val="28"/>
          <w:szCs w:val="28"/>
        </w:rPr>
        <w:t xml:space="preserve">проведении </w:t>
      </w:r>
      <w:r w:rsidRPr="00261E9F">
        <w:rPr>
          <w:sz w:val="28"/>
          <w:szCs w:val="28"/>
        </w:rPr>
        <w:t xml:space="preserve">мониторинга реализации </w:t>
      </w:r>
      <w:r w:rsidRPr="00261E9F">
        <w:rPr>
          <w:bCs/>
          <w:sz w:val="28"/>
          <w:szCs w:val="28"/>
        </w:rPr>
        <w:t>муниципальной программы и оценки ее эффективности.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13. Руководители </w:t>
      </w:r>
      <w:r>
        <w:rPr>
          <w:sz w:val="28"/>
          <w:szCs w:val="28"/>
        </w:rPr>
        <w:t>территориальных отделов Управления развитием территорий (далее отделы)</w:t>
      </w:r>
      <w:r w:rsidRPr="00261E9F">
        <w:rPr>
          <w:sz w:val="28"/>
          <w:szCs w:val="28"/>
        </w:rPr>
        <w:t>, являющихся администраторами муниципальной программы, несут персональную ответственность: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а) за своевременное формирование и утверждение муниципальной программы;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за достижение показателей муниципальной программы и целевое использование выделенных бюджетных средств на ее реализацию. 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14. </w:t>
      </w:r>
      <w:r>
        <w:rPr>
          <w:sz w:val="28"/>
          <w:szCs w:val="28"/>
        </w:rPr>
        <w:t>Главный администратор осуществляет функции</w:t>
      </w:r>
      <w:r w:rsidRPr="00261E9F">
        <w:rPr>
          <w:sz w:val="28"/>
          <w:szCs w:val="28"/>
        </w:rPr>
        <w:t xml:space="preserve"> в части общей координации деятельности администраторов на этапах формирования муниципальной программы, мониторинга и своевременной актуализации муниципальной программы, подготовки отчетов об исполнении отдельных подпрограмм, а также обобщения результатов реализации муниципальной программы и подготовки отчета об исполнении муниципальной программы.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Раздел </w:t>
      </w:r>
      <w:r w:rsidRPr="00261E9F">
        <w:rPr>
          <w:b/>
          <w:sz w:val="28"/>
          <w:szCs w:val="28"/>
          <w:lang w:val="en-US"/>
        </w:rPr>
        <w:t>II</w:t>
      </w: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1</w:t>
      </w: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Перечень целей муниципальной программы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15. Муниципальная программа Лихославльского муниципального округа «Развитие и благоустройство сельских территорий Лихославльского муниципального округа» на 2022-2026 годы направлена на обеспечение социально-экономического развития сельских территорий Лихославльского муниципального округа. 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Развитие сельских территорий Лихославльского муниципального округа осуществляется в соответствии с основными направлениями бюджетной и налоговой политики и стратегией социально-экономического развития Лихославльского муниципального округа Тверской области.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2</w:t>
      </w: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Перечень показателей, характеризующих достижение целей</w:t>
      </w: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6C789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16. Показателями, характеризующими достижение цели муниципальной программы, являются:</w:t>
      </w:r>
    </w:p>
    <w:p w:rsidR="00457C91" w:rsidRPr="00261E9F" w:rsidRDefault="00457C91" w:rsidP="006C789D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обеспечение чистоты и порядка, повышение качества жизни населения;</w:t>
      </w:r>
    </w:p>
    <w:p w:rsidR="00457C91" w:rsidRPr="00261E9F" w:rsidRDefault="00457C91" w:rsidP="006C789D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увеличение площади благоустроенных зеленых насаждений;</w:t>
      </w:r>
    </w:p>
    <w:p w:rsidR="00457C91" w:rsidRPr="00261E9F" w:rsidRDefault="00457C91" w:rsidP="006C789D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улучшение экологической обстановки.</w:t>
      </w:r>
    </w:p>
    <w:p w:rsidR="00457C91" w:rsidRPr="00261E9F" w:rsidRDefault="00457C91" w:rsidP="006C789D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создание современной, комфортной среды для проживания жителей.</w:t>
      </w:r>
    </w:p>
    <w:p w:rsidR="00457C91" w:rsidRPr="00261E9F" w:rsidRDefault="00457C91" w:rsidP="00457C91">
      <w:pPr>
        <w:suppressAutoHyphens/>
        <w:ind w:firstLine="567"/>
        <w:jc w:val="center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Раздел </w:t>
      </w:r>
      <w:r w:rsidRPr="00261E9F">
        <w:rPr>
          <w:b/>
          <w:sz w:val="28"/>
          <w:szCs w:val="28"/>
          <w:lang w:val="en-US"/>
        </w:rPr>
        <w:t>III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</w:p>
    <w:p w:rsidR="00457C91" w:rsidRPr="00261E9F" w:rsidRDefault="006C789D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 xml:space="preserve">17. Реализация муниципальной программы связана с выполнением следующих подпрограмм: </w:t>
      </w:r>
    </w:p>
    <w:p w:rsidR="00457C91" w:rsidRPr="00261E9F" w:rsidRDefault="00457C91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Подпрограмма 1 «Дорожное хозяйство»;</w:t>
      </w:r>
    </w:p>
    <w:p w:rsidR="00457C91" w:rsidRPr="00261E9F" w:rsidRDefault="00457C91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Подпрограмма 2 «Благоустройство сельских территорий»;</w:t>
      </w:r>
    </w:p>
    <w:p w:rsidR="00457C91" w:rsidRPr="00261E9F" w:rsidRDefault="00457C91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Подпрограмма 3 «Участие в ППМИ в сфере культуры»,</w:t>
      </w:r>
    </w:p>
    <w:p w:rsidR="00457C91" w:rsidRPr="00261E9F" w:rsidRDefault="00457C91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 xml:space="preserve">г) </w:t>
      </w:r>
      <w:r w:rsidRPr="00261E9F">
        <w:rPr>
          <w:bCs/>
          <w:color w:val="000000"/>
          <w:sz w:val="28"/>
          <w:szCs w:val="28"/>
        </w:rPr>
        <w:t>Обеспечивающая подпрограмма</w:t>
      </w:r>
      <w:r w:rsidRPr="00261E9F">
        <w:rPr>
          <w:color w:val="000000"/>
          <w:sz w:val="28"/>
          <w:szCs w:val="28"/>
        </w:rPr>
        <w:t xml:space="preserve"> </w:t>
      </w:r>
      <w:r w:rsidRPr="00261E9F">
        <w:rPr>
          <w:bCs/>
          <w:color w:val="000000"/>
          <w:sz w:val="28"/>
          <w:szCs w:val="28"/>
        </w:rPr>
        <w:t>«Обеспечение деятельности администратора муниципальной программы.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Подпрограмма 1 «Дорожное хозяйство»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Глава 1. Задачи подпрограммы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18. Администратором подпрогра</w:t>
      </w:r>
      <w:r>
        <w:rPr>
          <w:sz w:val="28"/>
          <w:szCs w:val="28"/>
        </w:rPr>
        <w:t>ммы 1 «Дорожное хозяйство» являю</w:t>
      </w:r>
      <w:r w:rsidRPr="00261E9F">
        <w:rPr>
          <w:sz w:val="28"/>
          <w:szCs w:val="28"/>
        </w:rPr>
        <w:t>тся</w:t>
      </w:r>
      <w:r w:rsidR="00C46F9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территориальные отделы Управления</w:t>
      </w:r>
      <w:r w:rsidRPr="00261E9F">
        <w:rPr>
          <w:sz w:val="28"/>
          <w:szCs w:val="28"/>
        </w:rPr>
        <w:t xml:space="preserve"> развитием территорий Лихославльского муниципального округа</w:t>
      </w:r>
      <w:r>
        <w:rPr>
          <w:sz w:val="28"/>
          <w:szCs w:val="28"/>
        </w:rPr>
        <w:t>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19. Реализация подпрограммы 1 «Дорожное хозяйство» связана с решением следующих задач: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задача 1 «Содержание автомобильных дорог и сооружений на них местного значения»;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задача 2 «Развитие дорожной сети, содержание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автомобильных дорог 4 класса»;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Решение задачи 1 «Содержание автомобильных дорог и сооружений на них местного значения»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протяженность автомобильных дорог общего пользования местного значения, пригодных к эксплуатации.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Решение задачи 2 «Развитие дорожной сети, содержание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автомобильных дорог 4 класса»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- количество обращений граждан по вопросам состояния дорог на </w:t>
      </w:r>
      <w:r>
        <w:rPr>
          <w:sz w:val="28"/>
          <w:szCs w:val="28"/>
        </w:rPr>
        <w:t>сельских территориях</w:t>
      </w:r>
      <w:r w:rsidRPr="00261E9F">
        <w:rPr>
          <w:sz w:val="28"/>
          <w:szCs w:val="28"/>
        </w:rPr>
        <w:t xml:space="preserve"> в отчетном году. </w:t>
      </w:r>
    </w:p>
    <w:p w:rsidR="00457C91" w:rsidRPr="00261E9F" w:rsidRDefault="00457C91" w:rsidP="00457C91">
      <w:pPr>
        <w:suppressAutoHyphens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2. Мероприятия подпрограммы </w:t>
      </w:r>
    </w:p>
    <w:p w:rsidR="00457C91" w:rsidRPr="00261E9F" w:rsidRDefault="00457C91" w:rsidP="00457C91">
      <w:pPr>
        <w:tabs>
          <w:tab w:val="left" w:pos="6630"/>
        </w:tabs>
        <w:suppressAutoHyphens/>
        <w:ind w:firstLine="567"/>
        <w:rPr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20. Решение задачи 1 «Содержание автомобильных дорог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и сооружений на них местного значения» осуществляется посредством выполнения следующих мероприятий подпрограммы: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>а) мероприятие «Поддержание автомобильных дорог общего пользования местного значения на уровне, соответствующем категории дороги</w:t>
      </w:r>
      <w:r w:rsidRPr="00261E9F">
        <w:rPr>
          <w:color w:val="000000"/>
          <w:sz w:val="28"/>
          <w:szCs w:val="28"/>
        </w:rPr>
        <w:t>»;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>б) мероприятие «Участие в программах капитального ремонта / реконструкции автомобильных дорог общего пользования местного значения/Ремонт придомовых территорий, участие в государственных программах КРСТ</w:t>
      </w:r>
      <w:r w:rsidRPr="00261E9F">
        <w:rPr>
          <w:color w:val="000000"/>
          <w:sz w:val="28"/>
          <w:szCs w:val="28"/>
        </w:rPr>
        <w:t>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21. Решение задачи 2 «Развитие дорожной сети, содержание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автомобильных дорог 4 класса» осуществляется посредством выполнения мероприятий: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color w:val="000000"/>
          <w:sz w:val="28"/>
          <w:szCs w:val="28"/>
        </w:rPr>
        <w:t>а) административное мероприятие «О</w:t>
      </w:r>
      <w:r w:rsidRPr="00261E9F">
        <w:rPr>
          <w:sz w:val="28"/>
          <w:szCs w:val="28"/>
        </w:rPr>
        <w:t>ценка состояния улично-дорожной сети и искусственных сооружений»;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б) </w:t>
      </w:r>
      <w:r w:rsidRPr="00261E9F">
        <w:rPr>
          <w:sz w:val="28"/>
          <w:szCs w:val="28"/>
        </w:rPr>
        <w:t>мероприятие «Участие в програм</w:t>
      </w:r>
      <w:r w:rsidR="00A955EC">
        <w:rPr>
          <w:sz w:val="28"/>
          <w:szCs w:val="28"/>
        </w:rPr>
        <w:t xml:space="preserve">мах ремонта, реконструкции </w:t>
      </w:r>
      <w:proofErr w:type="spellStart"/>
      <w:r w:rsidR="00A955EC">
        <w:rPr>
          <w:sz w:val="28"/>
          <w:szCs w:val="28"/>
        </w:rPr>
        <w:t>меж</w:t>
      </w:r>
      <w:r w:rsidRPr="00261E9F">
        <w:rPr>
          <w:sz w:val="28"/>
          <w:szCs w:val="28"/>
        </w:rPr>
        <w:t>селенческих</w:t>
      </w:r>
      <w:proofErr w:type="spellEnd"/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автомобильных дорог общего пользования 4 класса».</w:t>
      </w:r>
    </w:p>
    <w:p w:rsidR="00457C91" w:rsidRPr="00261E9F" w:rsidRDefault="00457C91" w:rsidP="00457C91">
      <w:pPr>
        <w:suppressAutoHyphens/>
        <w:ind w:firstLine="567"/>
        <w:rPr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3. Объем финансовых ресурсов, необходимых для реализации подпрограммы </w:t>
      </w:r>
    </w:p>
    <w:p w:rsidR="00457C91" w:rsidRPr="00261E9F" w:rsidRDefault="00457C91" w:rsidP="00457C91">
      <w:pPr>
        <w:suppressAutoHyphens/>
        <w:ind w:firstLine="567"/>
        <w:jc w:val="both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22. Источником финансирования мероприятий подпрограммы 1 «Дорожное хозяйство» является муниципальный дорожный фонд Лихославльского муниципального округа</w:t>
      </w:r>
      <w:r>
        <w:rPr>
          <w:sz w:val="28"/>
          <w:szCs w:val="28"/>
        </w:rPr>
        <w:t xml:space="preserve"> Тверской области</w:t>
      </w:r>
      <w:r w:rsidRPr="00261E9F">
        <w:rPr>
          <w:sz w:val="28"/>
          <w:szCs w:val="28"/>
        </w:rPr>
        <w:t xml:space="preserve">.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23. Общий объем бюджетных ассигнований на подпрограмму 1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</w:t>
      </w:r>
      <w:r w:rsidR="00C46F9B">
        <w:rPr>
          <w:sz w:val="28"/>
          <w:szCs w:val="28"/>
        </w:rPr>
        <w:t xml:space="preserve"> </w:t>
      </w:r>
      <w:r w:rsidRPr="00261E9F">
        <w:rPr>
          <w:color w:val="000000"/>
          <w:sz w:val="28"/>
          <w:szCs w:val="28"/>
        </w:rPr>
        <w:t>39851,7</w:t>
      </w:r>
      <w:r w:rsidRPr="00261E9F">
        <w:rPr>
          <w:sz w:val="28"/>
          <w:szCs w:val="28"/>
        </w:rPr>
        <w:t>тыс. руб.:</w:t>
      </w:r>
    </w:p>
    <w:p w:rsidR="00457C91" w:rsidRPr="00457C91" w:rsidRDefault="00457C91" w:rsidP="00457C91">
      <w:pPr>
        <w:suppressAutoHyphens/>
        <w:ind w:firstLine="708"/>
        <w:jc w:val="right"/>
        <w:rPr>
          <w:sz w:val="28"/>
          <w:szCs w:val="28"/>
        </w:rPr>
      </w:pPr>
      <w:r w:rsidRPr="00457C91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457C91" w:rsidRPr="0061112F" w:rsidTr="006C789D">
        <w:tc>
          <w:tcPr>
            <w:tcW w:w="971" w:type="pct"/>
            <w:vMerge w:val="restar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1 «Дорожное хозяйство»,39851,7 тыс. руб.</w:t>
            </w:r>
          </w:p>
        </w:tc>
        <w:tc>
          <w:tcPr>
            <w:tcW w:w="692" w:type="pc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Итого,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6C789D" w:rsidRPr="0061112F" w:rsidTr="006C789D">
        <w:tc>
          <w:tcPr>
            <w:tcW w:w="971" w:type="pct"/>
            <w:vMerge/>
            <w:vAlign w:val="center"/>
          </w:tcPr>
          <w:p w:rsidR="006C789D" w:rsidRPr="0061112F" w:rsidRDefault="006C789D" w:rsidP="00934FF9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32" w:type="pct"/>
            <w:vAlign w:val="center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Задача 1</w:t>
            </w:r>
          </w:p>
          <w:p w:rsidR="006C789D" w:rsidRPr="0061112F" w:rsidRDefault="006C789D" w:rsidP="00934FF9">
            <w:pPr>
              <w:suppressAutoHyphens/>
              <w:jc w:val="center"/>
            </w:pPr>
            <w:r w:rsidRPr="0061112F"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Задача 2</w:t>
            </w:r>
          </w:p>
          <w:p w:rsidR="006C789D" w:rsidRPr="0061112F" w:rsidRDefault="006C789D" w:rsidP="00934FF9">
            <w:pPr>
              <w:suppressAutoHyphens/>
              <w:jc w:val="center"/>
            </w:pPr>
            <w:r w:rsidRPr="0061112F">
              <w:t>«Развитие дорожной сети, содержание</w:t>
            </w:r>
            <w:r w:rsidR="00C46F9B">
              <w:t xml:space="preserve"> </w:t>
            </w:r>
            <w:r w:rsidRPr="0061112F">
              <w:t>автомобильных дорог 4 класса»</w:t>
            </w:r>
          </w:p>
        </w:tc>
        <w:tc>
          <w:tcPr>
            <w:tcW w:w="692" w:type="pct"/>
            <w:vAlign w:val="center"/>
          </w:tcPr>
          <w:p w:rsidR="006C789D" w:rsidRPr="0061112F" w:rsidRDefault="006C789D" w:rsidP="00934FF9">
            <w:pPr>
              <w:suppressAutoHyphens/>
              <w:jc w:val="both"/>
              <w:rPr>
                <w:highlight w:val="yellow"/>
              </w:rPr>
            </w:pP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6228.4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3059,3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9287,7</w:t>
            </w: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5332.0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8391,0</w:t>
            </w: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4332,0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6C789D" w:rsidRPr="0061112F" w:rsidTr="006C789D">
        <w:tc>
          <w:tcPr>
            <w:tcW w:w="971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53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24556,4</w:t>
            </w:r>
          </w:p>
        </w:tc>
        <w:tc>
          <w:tcPr>
            <w:tcW w:w="1805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15295,3</w:t>
            </w:r>
          </w:p>
        </w:tc>
        <w:tc>
          <w:tcPr>
            <w:tcW w:w="692" w:type="pct"/>
          </w:tcPr>
          <w:p w:rsidR="006C789D" w:rsidRPr="0061112F" w:rsidRDefault="006C789D" w:rsidP="00934FF9">
            <w:pPr>
              <w:suppressAutoHyphens/>
              <w:jc w:val="center"/>
            </w:pPr>
            <w:r w:rsidRPr="0061112F">
              <w:t>39851,7</w:t>
            </w:r>
          </w:p>
        </w:tc>
      </w:tr>
    </w:tbl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II</w:t>
      </w:r>
    </w:p>
    <w:p w:rsidR="00457C91" w:rsidRPr="00261E9F" w:rsidRDefault="006C789D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2 </w:t>
      </w:r>
      <w:r w:rsidR="00457C91" w:rsidRPr="00261E9F">
        <w:rPr>
          <w:b/>
          <w:sz w:val="28"/>
          <w:szCs w:val="28"/>
        </w:rPr>
        <w:t>«Благоустройство сельских территорий»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Глава 1. Задачи подпрограммы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24. Администратором подпрограммы 2 «Благоустройство сельских территорий</w:t>
      </w:r>
      <w:r>
        <w:rPr>
          <w:sz w:val="28"/>
          <w:szCs w:val="28"/>
        </w:rPr>
        <w:t>» являю</w:t>
      </w:r>
      <w:r w:rsidRPr="00261E9F">
        <w:rPr>
          <w:sz w:val="28"/>
          <w:szCs w:val="28"/>
        </w:rPr>
        <w:t>тся</w:t>
      </w:r>
      <w:r>
        <w:rPr>
          <w:sz w:val="28"/>
          <w:szCs w:val="28"/>
        </w:rPr>
        <w:t xml:space="preserve"> территориальные отделы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61E9F">
        <w:rPr>
          <w:sz w:val="28"/>
          <w:szCs w:val="28"/>
        </w:rPr>
        <w:t xml:space="preserve"> развитием территорий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Лихославльского муниципального округа.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25. Реализация подпрограммы 2 «Благоустройство сельских территорий» связана с решением следующих задач: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задача 1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«Развитие и благоустройство территорий сельских поселений» 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«Обеспечение прочих мероприятий по благоустройству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сельских территорий»;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Решение задачи 1 «Развитие и благоустройство территорий сельских поселений»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усовершенствование комплексного и внешнего благоустройства сельских территорий для безопасного, удобного, комфортного проживания населения по средствам участия в ППМИ.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 Решение задачи 2 «Обеспечение прочих мероприятий по благоустройству территорий сельских поселений»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-увеличение площади благоустроенных зон отдыха для населения.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2. Мероприятия подпрограммы </w:t>
      </w:r>
    </w:p>
    <w:p w:rsidR="00457C91" w:rsidRPr="00261E9F" w:rsidRDefault="00457C91" w:rsidP="00457C91">
      <w:pPr>
        <w:tabs>
          <w:tab w:val="left" w:pos="6630"/>
        </w:tabs>
        <w:suppressAutoHyphens/>
        <w:ind w:firstLine="567"/>
        <w:rPr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26. Решение задачи 1 «Развитие и благоустройство территорий сельских поселений» осуществляется посредством выполнения мероприятий: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а) ППМИ: Обустройство контейнерных площадок в населенных пунктах Вескинского сельского поселения;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ППМИ: Обустройство территории Вескинского Дома Культуры для массового отдыха;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 xml:space="preserve">в) ППМИ: </w:t>
      </w:r>
      <w:r w:rsidRPr="00261E9F">
        <w:rPr>
          <w:color w:val="000000"/>
          <w:sz w:val="28"/>
          <w:szCs w:val="28"/>
        </w:rPr>
        <w:t>Обустройство зоны отдыха в с. Толмачи Лихославльского района Тверской области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27. Решение задачи 2 «Обеспечение прочих мероприятий по благоустройству сельских территорий» осуществляется посредством выполнения следующих мероприятий подпрограммы: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мероприятие «Организация вывоза мусора, веток и древесины с территорий, содержание санитарного состояния территорий (в т.ч. рабочие, экологический отряд, общественные работы)</w:t>
      </w:r>
      <w:r w:rsidRPr="00261E9F">
        <w:rPr>
          <w:color w:val="000000"/>
          <w:sz w:val="28"/>
          <w:szCs w:val="28"/>
        </w:rPr>
        <w:t>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</w:t>
      </w:r>
      <w:r w:rsidRPr="00261E9F">
        <w:rPr>
          <w:color w:val="000000"/>
          <w:sz w:val="28"/>
          <w:szCs w:val="28"/>
        </w:rPr>
        <w:t xml:space="preserve">мероприятие «Проведение работ по благоустройству муниципальных кладбищ и восстановлению воинских захоронений (мемориалов, обелисков) на сельских </w:t>
      </w:r>
      <w:r w:rsidRPr="00261E9F">
        <w:rPr>
          <w:sz w:val="28"/>
          <w:szCs w:val="28"/>
        </w:rPr>
        <w:t>территориях</w:t>
      </w:r>
      <w:r w:rsidRPr="00261E9F">
        <w:rPr>
          <w:color w:val="000000"/>
          <w:sz w:val="28"/>
          <w:szCs w:val="28"/>
        </w:rPr>
        <w:t>»;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3. Объем финансовых ресурсов, необходимых для реализации подпрограммы </w:t>
      </w:r>
    </w:p>
    <w:p w:rsidR="00457C91" w:rsidRPr="00261E9F" w:rsidRDefault="00457C91" w:rsidP="00457C91">
      <w:pPr>
        <w:suppressAutoHyphens/>
        <w:ind w:firstLine="567"/>
        <w:jc w:val="both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28. Источником финансирования мероприятий подпрограммы 2 «Благоустройство сельских территорий» являются средства бюджета Лихославльского муниципального округа.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29. Общий объем бюджетных ассигнований на подпрограмму 2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 w:rsidRPr="00261E9F">
        <w:rPr>
          <w:color w:val="000000"/>
          <w:sz w:val="28"/>
          <w:szCs w:val="28"/>
        </w:rPr>
        <w:t xml:space="preserve">4826,7 </w:t>
      </w:r>
      <w:r w:rsidRPr="00261E9F">
        <w:rPr>
          <w:sz w:val="28"/>
          <w:szCs w:val="28"/>
        </w:rPr>
        <w:t>тыс. руб.:</w:t>
      </w:r>
    </w:p>
    <w:p w:rsidR="00457C91" w:rsidRPr="00457C91" w:rsidRDefault="00457C91" w:rsidP="00457C91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457C91" w:rsidRPr="0061112F" w:rsidTr="00934FF9">
        <w:tc>
          <w:tcPr>
            <w:tcW w:w="1025" w:type="pct"/>
            <w:vMerge w:val="restar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2 «Благоустройство сельских территорий», 4826,3 тыс. руб.</w:t>
            </w:r>
          </w:p>
        </w:tc>
        <w:tc>
          <w:tcPr>
            <w:tcW w:w="751" w:type="pct"/>
            <w:vMerge w:val="restar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Итого,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457C91" w:rsidRPr="0061112F" w:rsidTr="00934FF9">
        <w:tc>
          <w:tcPr>
            <w:tcW w:w="1025" w:type="pct"/>
            <w:vMerge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Задача 1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 xml:space="preserve"> «Развитие и благоустройство территорий сельских поселений»</w:t>
            </w:r>
          </w:p>
          <w:p w:rsidR="00457C91" w:rsidRPr="0061112F" w:rsidRDefault="00457C91" w:rsidP="00934FF9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Задача 2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>«Обеспечение прочих мероприятий по благоустройству сельских территорий»</w:t>
            </w:r>
          </w:p>
        </w:tc>
        <w:tc>
          <w:tcPr>
            <w:tcW w:w="751" w:type="pct"/>
            <w:vMerge/>
          </w:tcPr>
          <w:p w:rsidR="00457C91" w:rsidRPr="0061112F" w:rsidRDefault="00457C91" w:rsidP="00934FF9">
            <w:pPr>
              <w:suppressAutoHyphens/>
              <w:jc w:val="both"/>
            </w:pP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920,3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1137,6</w:t>
            </w:r>
          </w:p>
        </w:tc>
        <w:tc>
          <w:tcPr>
            <w:tcW w:w="75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2057,9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1137,6</w:t>
            </w:r>
          </w:p>
        </w:tc>
        <w:tc>
          <w:tcPr>
            <w:tcW w:w="751" w:type="pct"/>
            <w:shd w:val="clear" w:color="auto" w:fill="auto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1137,6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543,6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920,3</w:t>
            </w:r>
          </w:p>
        </w:tc>
        <w:tc>
          <w:tcPr>
            <w:tcW w:w="1612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3906,0</w:t>
            </w:r>
          </w:p>
        </w:tc>
        <w:tc>
          <w:tcPr>
            <w:tcW w:w="75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4826,3</w:t>
            </w:r>
          </w:p>
        </w:tc>
      </w:tr>
    </w:tbl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III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Подпрограмма 3</w:t>
      </w:r>
      <w:r w:rsidR="00C46F9B">
        <w:rPr>
          <w:b/>
          <w:sz w:val="28"/>
          <w:szCs w:val="28"/>
        </w:rPr>
        <w:t xml:space="preserve"> </w:t>
      </w:r>
      <w:r w:rsidRPr="00261E9F">
        <w:rPr>
          <w:b/>
          <w:sz w:val="28"/>
          <w:szCs w:val="28"/>
        </w:rPr>
        <w:t>«Участие в ППМИ в сфере культуры»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Глава 1. Задачи подпрограммы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 xml:space="preserve">30. Администратором подпрограммы 3 «Участие в ППМИ в сфере культуры» </w:t>
      </w:r>
      <w:proofErr w:type="spellStart"/>
      <w:r>
        <w:rPr>
          <w:sz w:val="28"/>
          <w:szCs w:val="28"/>
        </w:rPr>
        <w:t>Кавской</w:t>
      </w:r>
      <w:proofErr w:type="spellEnd"/>
      <w:r>
        <w:rPr>
          <w:sz w:val="28"/>
          <w:szCs w:val="28"/>
        </w:rPr>
        <w:t xml:space="preserve"> территориальный отдел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61E9F">
        <w:rPr>
          <w:sz w:val="28"/>
          <w:szCs w:val="28"/>
        </w:rPr>
        <w:t xml:space="preserve"> развитием территорий Лихославльского муниципального округа.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31. Реализация подпрограммы 3 «Участие в ППМИ в сфере культуры» связана с решением следующих задач:</w:t>
      </w:r>
    </w:p>
    <w:p w:rsidR="00457C91" w:rsidRPr="00261E9F" w:rsidRDefault="006C789D" w:rsidP="00457C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а) задача 1</w:t>
      </w:r>
      <w:r w:rsidR="00C46F9B">
        <w:rPr>
          <w:sz w:val="28"/>
          <w:szCs w:val="28"/>
        </w:rPr>
        <w:t xml:space="preserve"> </w:t>
      </w:r>
      <w:r w:rsidR="00457C91" w:rsidRPr="00261E9F">
        <w:rPr>
          <w:b/>
          <w:bCs/>
          <w:sz w:val="28"/>
          <w:szCs w:val="28"/>
        </w:rPr>
        <w:t>«</w:t>
      </w:r>
      <w:r w:rsidR="00457C91" w:rsidRPr="00261E9F">
        <w:rPr>
          <w:sz w:val="28"/>
          <w:szCs w:val="28"/>
        </w:rPr>
        <w:t>Содержание зданий культуры, закрепленного за Управлением, в исправном состоянии</w:t>
      </w:r>
      <w:r w:rsidR="00457C91" w:rsidRPr="00261E9F">
        <w:rPr>
          <w:b/>
          <w:bCs/>
          <w:sz w:val="28"/>
          <w:szCs w:val="28"/>
        </w:rPr>
        <w:t>»</w:t>
      </w:r>
      <w:r w:rsidR="00457C91" w:rsidRPr="00261E9F">
        <w:rPr>
          <w:sz w:val="28"/>
          <w:szCs w:val="28"/>
        </w:rPr>
        <w:t>;</w:t>
      </w:r>
    </w:p>
    <w:p w:rsidR="00457C91" w:rsidRPr="00261E9F" w:rsidRDefault="006C789D" w:rsidP="00457C9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б) задача 2 «Информационное обеспечение деятельности в сфере культуры и досуга"</w:t>
      </w:r>
    </w:p>
    <w:p w:rsidR="00457C91" w:rsidRPr="00261E9F" w:rsidRDefault="006C789D" w:rsidP="00457C9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Решение задачи 1</w:t>
      </w:r>
      <w:r w:rsidR="00C46F9B">
        <w:rPr>
          <w:sz w:val="28"/>
          <w:szCs w:val="28"/>
        </w:rPr>
        <w:t xml:space="preserve"> </w:t>
      </w:r>
      <w:r w:rsidR="00457C91" w:rsidRPr="00261E9F">
        <w:rPr>
          <w:b/>
          <w:bCs/>
          <w:sz w:val="28"/>
          <w:szCs w:val="28"/>
        </w:rPr>
        <w:t>«</w:t>
      </w:r>
      <w:r w:rsidR="00457C91" w:rsidRPr="00261E9F">
        <w:rPr>
          <w:sz w:val="28"/>
          <w:szCs w:val="28"/>
        </w:rPr>
        <w:t>Содержание зданий культуры, закрепленного за Управлением, в исправном состоянии</w:t>
      </w:r>
      <w:r w:rsidR="00457C91" w:rsidRPr="00261E9F">
        <w:rPr>
          <w:b/>
          <w:bCs/>
          <w:sz w:val="28"/>
          <w:szCs w:val="28"/>
        </w:rPr>
        <w:t>»</w:t>
      </w:r>
      <w:r w:rsidR="00457C91" w:rsidRPr="00261E9F">
        <w:rPr>
          <w:sz w:val="28"/>
          <w:szCs w:val="28"/>
        </w:rPr>
        <w:t xml:space="preserve">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-Удовлетворенность населения качеством культурно-досуговых мероприятий.</w:t>
      </w:r>
    </w:p>
    <w:p w:rsidR="00457C91" w:rsidRPr="00261E9F" w:rsidRDefault="006C789D" w:rsidP="00457C9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Решение задачи 2</w:t>
      </w:r>
      <w:r w:rsidR="00C46F9B"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«Информационное обеспечение деятельности в сфере культуры и досуга» оценивается с помощью показателя: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Увеличение количества посещаемости населения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культурно-досуговых мероприятий.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2. Мероприятия подпрограммы </w:t>
      </w:r>
    </w:p>
    <w:p w:rsidR="00457C91" w:rsidRPr="00261E9F" w:rsidRDefault="00457C91" w:rsidP="00457C91">
      <w:pPr>
        <w:tabs>
          <w:tab w:val="left" w:pos="6630"/>
        </w:tabs>
        <w:suppressAutoHyphens/>
        <w:ind w:firstLine="567"/>
        <w:rPr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32. Решение задачи 1 «Содержание зданий культуры, закрепленного за Управлением, в исправном состоянии» осуществляется посредством выполнения следующих мероприятий подпрограммы: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>а) мероприятие «Участие в программах капитального ремонта зданий/ областная программа ППМИ</w:t>
      </w:r>
      <w:r w:rsidRPr="00261E9F">
        <w:rPr>
          <w:color w:val="000000"/>
          <w:sz w:val="28"/>
          <w:szCs w:val="28"/>
        </w:rPr>
        <w:t>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color w:val="000000"/>
          <w:sz w:val="28"/>
          <w:szCs w:val="28"/>
        </w:rPr>
        <w:t>- Капитальный ремонт здания (замена оконных и дверных блоков) Первитинского Дома культуры, расположенного по адресу: Тверская обл., Лихославльский р-он, дер. Первитино, ул. Севастьянова, д.7</w:t>
      </w:r>
    </w:p>
    <w:p w:rsidR="00457C91" w:rsidRPr="00261E9F" w:rsidRDefault="00457C91" w:rsidP="00457C9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 xml:space="preserve">б) административное </w:t>
      </w:r>
      <w:r w:rsidRPr="00261E9F">
        <w:rPr>
          <w:color w:val="000000"/>
          <w:sz w:val="28"/>
          <w:szCs w:val="28"/>
        </w:rPr>
        <w:t>мероприятие «Поддержание в технически исправном состоянии и обеспечение эстетичного внешнего вида имущества»;</w:t>
      </w:r>
    </w:p>
    <w:p w:rsidR="00457C91" w:rsidRPr="00261E9F" w:rsidRDefault="006C789D" w:rsidP="00457C91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7C91" w:rsidRPr="00261E9F">
        <w:rPr>
          <w:color w:val="000000"/>
          <w:sz w:val="28"/>
          <w:szCs w:val="28"/>
        </w:rPr>
        <w:t xml:space="preserve">33. </w:t>
      </w:r>
      <w:r w:rsidR="00457C91" w:rsidRPr="00261E9F">
        <w:rPr>
          <w:sz w:val="28"/>
          <w:szCs w:val="28"/>
        </w:rPr>
        <w:t>Решение задачи 2</w:t>
      </w:r>
      <w:r w:rsidR="00C46F9B"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>«Информационное обеспечение деятельности в сфере культуры и досуга» осуществляется посредством выполнения следующих мероприятий подпрограммы:</w:t>
      </w:r>
    </w:p>
    <w:p w:rsidR="00457C91" w:rsidRPr="00261E9F" w:rsidRDefault="006C789D" w:rsidP="00457C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1" w:rsidRPr="00261E9F">
        <w:rPr>
          <w:sz w:val="28"/>
          <w:szCs w:val="28"/>
        </w:rPr>
        <w:t xml:space="preserve">а) административное </w:t>
      </w:r>
      <w:r w:rsidR="00457C91" w:rsidRPr="00261E9F">
        <w:rPr>
          <w:color w:val="000000"/>
          <w:sz w:val="28"/>
          <w:szCs w:val="28"/>
        </w:rPr>
        <w:t>мероприятие «</w:t>
      </w:r>
      <w:r w:rsidR="00457C91" w:rsidRPr="00261E9F">
        <w:rPr>
          <w:sz w:val="28"/>
          <w:szCs w:val="28"/>
        </w:rPr>
        <w:t>Размещение информации о деятельности в сфере культурных отношений»;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</w:t>
      </w:r>
      <w:r w:rsidRPr="00261E9F">
        <w:rPr>
          <w:color w:val="000000"/>
          <w:sz w:val="28"/>
          <w:szCs w:val="28"/>
        </w:rPr>
        <w:t xml:space="preserve">мероприятие </w:t>
      </w:r>
      <w:r w:rsidRPr="00261E9F">
        <w:rPr>
          <w:sz w:val="28"/>
          <w:szCs w:val="28"/>
        </w:rPr>
        <w:t>"Размещение информации в печатных средствах массовой информации».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3. Объем финансовых ресурсов, необходимых для реализации подпрограммы </w:t>
      </w:r>
    </w:p>
    <w:p w:rsidR="00457C91" w:rsidRPr="00261E9F" w:rsidRDefault="00457C91" w:rsidP="00457C91">
      <w:pPr>
        <w:suppressAutoHyphens/>
        <w:ind w:firstLine="567"/>
        <w:jc w:val="both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34. Источником финансирования мероприятий подпрограммы 3 «Участие в ППМИ в сфере культуры» являются средства бюджета Лихославльского муниципального округа.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35. Общий объем бюджетных ассигнований на подпрограмму 3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 w:rsidRPr="00261E9F">
        <w:rPr>
          <w:color w:val="000000"/>
          <w:sz w:val="28"/>
          <w:szCs w:val="28"/>
        </w:rPr>
        <w:t>62.7</w:t>
      </w:r>
      <w:r w:rsidRPr="00261E9F">
        <w:rPr>
          <w:sz w:val="28"/>
          <w:szCs w:val="28"/>
        </w:rPr>
        <w:t>тыс. руб.:</w:t>
      </w:r>
    </w:p>
    <w:p w:rsidR="00457C91" w:rsidRPr="00457C91" w:rsidRDefault="00457C91" w:rsidP="00457C91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26"/>
        <w:gridCol w:w="2632"/>
        <w:gridCol w:w="2047"/>
      </w:tblGrid>
      <w:tr w:rsidR="00457C91" w:rsidRPr="0061112F" w:rsidTr="00934FF9">
        <w:tc>
          <w:tcPr>
            <w:tcW w:w="1025" w:type="pct"/>
            <w:vMerge w:val="restar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lastRenderedPageBreak/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3 «Участие в ППМИ в сфере культуры», 62.7тыс. руб.</w:t>
            </w:r>
          </w:p>
        </w:tc>
        <w:tc>
          <w:tcPr>
            <w:tcW w:w="1004" w:type="pct"/>
            <w:vMerge w:val="restar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Итого,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457C91" w:rsidRPr="0061112F" w:rsidTr="00934FF9">
        <w:tc>
          <w:tcPr>
            <w:tcW w:w="1025" w:type="pct"/>
            <w:vMerge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</w:p>
        </w:tc>
        <w:tc>
          <w:tcPr>
            <w:tcW w:w="1680" w:type="pc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Задача 1</w:t>
            </w:r>
          </w:p>
          <w:p w:rsidR="00457C91" w:rsidRPr="0061112F" w:rsidRDefault="00457C91" w:rsidP="00934FF9">
            <w:pPr>
              <w:suppressAutoHyphens/>
              <w:jc w:val="center"/>
            </w:pPr>
            <w:r w:rsidRPr="0061112F"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457C91" w:rsidRPr="0061112F" w:rsidRDefault="00457C91" w:rsidP="00934FF9">
            <w:pPr>
              <w:suppressAutoHyphens/>
              <w:jc w:val="both"/>
            </w:pP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61,7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61,7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  <w:shd w:val="clear" w:color="auto" w:fill="auto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1,0</w:t>
            </w:r>
          </w:p>
        </w:tc>
      </w:tr>
      <w:tr w:rsidR="00457C91" w:rsidRPr="0061112F" w:rsidTr="00934FF9">
        <w:tc>
          <w:tcPr>
            <w:tcW w:w="1025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80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61,7</w:t>
            </w:r>
          </w:p>
        </w:tc>
        <w:tc>
          <w:tcPr>
            <w:tcW w:w="1291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457C91" w:rsidRPr="0061112F" w:rsidRDefault="00457C91" w:rsidP="00934FF9">
            <w:pPr>
              <w:suppressAutoHyphens/>
              <w:jc w:val="center"/>
            </w:pPr>
            <w:r w:rsidRPr="0061112F">
              <w:t>62,7</w:t>
            </w:r>
          </w:p>
        </w:tc>
      </w:tr>
    </w:tbl>
    <w:p w:rsidR="00457C91" w:rsidRPr="00261E9F" w:rsidRDefault="00457C91" w:rsidP="00457C91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IV</w:t>
      </w:r>
    </w:p>
    <w:p w:rsidR="00457C91" w:rsidRPr="00261E9F" w:rsidRDefault="00457C91" w:rsidP="00457C9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E9F">
        <w:rPr>
          <w:b/>
          <w:bCs/>
          <w:color w:val="000000"/>
          <w:sz w:val="28"/>
          <w:szCs w:val="28"/>
        </w:rPr>
        <w:t>Обеспечивающая подпрограмма</w:t>
      </w:r>
    </w:p>
    <w:p w:rsidR="00457C91" w:rsidRPr="00261E9F" w:rsidRDefault="00457C91" w:rsidP="00457C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9F">
        <w:rPr>
          <w:b/>
          <w:bCs/>
          <w:color w:val="000000"/>
          <w:sz w:val="28"/>
          <w:szCs w:val="28"/>
        </w:rPr>
        <w:t>«Обеспечение деятельности администратора муниципальной программы»</w:t>
      </w:r>
    </w:p>
    <w:p w:rsidR="00457C91" w:rsidRPr="00261E9F" w:rsidRDefault="00457C91" w:rsidP="00457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36. 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47296.3 тыс. руб.</w:t>
      </w:r>
    </w:p>
    <w:p w:rsidR="00457C91" w:rsidRPr="00261E9F" w:rsidRDefault="00457C91" w:rsidP="00457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37.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4</w:t>
      </w:r>
    </w:p>
    <w:p w:rsidR="00457C91" w:rsidRPr="00457C91" w:rsidRDefault="00457C91" w:rsidP="00C46F9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457C91">
        <w:rPr>
          <w:color w:val="000000"/>
          <w:sz w:val="28"/>
          <w:szCs w:val="28"/>
        </w:rPr>
        <w:t xml:space="preserve">Таблица </w:t>
      </w:r>
      <w:r w:rsidRPr="00457C91">
        <w:rPr>
          <w:color w:val="000000"/>
          <w:sz w:val="28"/>
          <w:szCs w:val="28"/>
          <w:lang w:val="en-US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88"/>
        <w:gridCol w:w="1003"/>
        <w:gridCol w:w="993"/>
        <w:gridCol w:w="1128"/>
        <w:gridCol w:w="998"/>
        <w:gridCol w:w="1030"/>
        <w:gridCol w:w="978"/>
      </w:tblGrid>
      <w:tr w:rsidR="00457C91" w:rsidRPr="0061112F" w:rsidTr="00C46F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№ 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По годам реализации муниципальной программы, 47296.3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Всего,</w:t>
            </w:r>
          </w:p>
          <w:p w:rsidR="00457C91" w:rsidRPr="0061112F" w:rsidRDefault="00457C91" w:rsidP="00C46F9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тыс. руб.</w:t>
            </w:r>
          </w:p>
        </w:tc>
      </w:tr>
      <w:tr w:rsidR="00457C91" w:rsidRPr="0061112F" w:rsidTr="00C46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2023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2025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</w:p>
        </w:tc>
      </w:tr>
      <w:tr w:rsidR="00457C91" w:rsidRPr="0061112F" w:rsidTr="00C46F9B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Обеспечение деятельности администратора муниципальной программы (</w:t>
            </w:r>
            <w:r>
              <w:rPr>
                <w:color w:val="000000"/>
              </w:rPr>
              <w:t xml:space="preserve">содержание </w:t>
            </w:r>
            <w:r w:rsidRPr="0061112F">
              <w:rPr>
                <w:color w:val="000000"/>
              </w:rPr>
              <w:t>управления)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8652.9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8652.9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8652.9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8652.9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8652.9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43264.5</w:t>
            </w:r>
          </w:p>
        </w:tc>
      </w:tr>
      <w:tr w:rsidR="00457C91" w:rsidRPr="0061112F" w:rsidTr="00C46F9B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Обеспечение деятельности администратора муниципальной программы (</w:t>
            </w:r>
            <w:r>
              <w:rPr>
                <w:color w:val="000000"/>
              </w:rPr>
              <w:t>первичный воинский учет на территориях</w:t>
            </w:r>
            <w:r w:rsidRPr="0061112F">
              <w:rPr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756.8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791.0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828.0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828.0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828.0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4031.8</w:t>
            </w:r>
          </w:p>
        </w:tc>
      </w:tr>
      <w:tr w:rsidR="00457C91" w:rsidRPr="0061112F" w:rsidTr="00C46F9B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C91" w:rsidRPr="0061112F" w:rsidRDefault="00457C91" w:rsidP="00C46F9B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Итого,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9409.7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9443.9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</w:t>
            </w:r>
            <w:r w:rsidRPr="0061112F">
              <w:rPr>
                <w:color w:val="000000"/>
              </w:rPr>
              <w:t>4</w:t>
            </w:r>
            <w:r w:rsidRPr="0061112F">
              <w:rPr>
                <w:color w:val="000000"/>
                <w:lang w:val="en-US"/>
              </w:rPr>
              <w:t>80.9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7C91" w:rsidRPr="0061112F" w:rsidRDefault="00457C91" w:rsidP="00C46F9B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47296.3</w:t>
            </w:r>
          </w:p>
        </w:tc>
      </w:tr>
    </w:tbl>
    <w:p w:rsidR="00457C91" w:rsidRPr="0061112F" w:rsidRDefault="00457C91" w:rsidP="00457C9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112F">
        <w:rPr>
          <w:color w:val="000000"/>
        </w:rPr>
        <w:t> </w:t>
      </w:r>
    </w:p>
    <w:p w:rsidR="00457C91" w:rsidRPr="00261E9F" w:rsidRDefault="00457C91" w:rsidP="00457C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38. Расходы на обеспечение деятельности Главного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C46F9B" w:rsidRDefault="00C46F9B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91" w:rsidRPr="00261E9F" w:rsidRDefault="00457C91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61E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57C91" w:rsidRPr="00261E9F" w:rsidRDefault="00457C91" w:rsidP="00457C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Механизм управления и мониторинга реализации муниципальной программы</w:t>
      </w:r>
    </w:p>
    <w:p w:rsidR="00457C91" w:rsidRPr="00261E9F" w:rsidRDefault="00457C91" w:rsidP="00457C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39. Управление реализацией муниципальной программы предусматривает: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определение мероприятий по реализации муниципальной программы и распределение их между администраторами и главным администратором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оперативное принятие решений, обеспечение согласованности взаимодействия администраторов и главного администратора муниципальной программы при ее реализации;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учёт, контроль и анализ реализации муниципальной программы.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40. Управление</w:t>
      </w:r>
      <w:r>
        <w:rPr>
          <w:sz w:val="28"/>
          <w:szCs w:val="28"/>
        </w:rPr>
        <w:t>м</w:t>
      </w:r>
      <w:r w:rsidRPr="00261E9F">
        <w:rPr>
          <w:sz w:val="28"/>
          <w:szCs w:val="28"/>
        </w:rPr>
        <w:t xml:space="preserve"> реализацией муници</w:t>
      </w:r>
      <w:r>
        <w:rPr>
          <w:sz w:val="28"/>
          <w:szCs w:val="28"/>
        </w:rPr>
        <w:t>пальной программы осуществляют Г</w:t>
      </w:r>
      <w:r w:rsidRPr="00261E9F">
        <w:rPr>
          <w:sz w:val="28"/>
          <w:szCs w:val="28"/>
        </w:rPr>
        <w:t>лавный администратор и администраторы муниципальной программы в соответствии с утверждёнными ежегодными планами мероприятий по реализации муниципальной программы.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41</w:t>
      </w:r>
      <w:r>
        <w:rPr>
          <w:sz w:val="28"/>
          <w:szCs w:val="28"/>
        </w:rPr>
        <w:t>. Ежегодно в срок до 15 января Г</w:t>
      </w:r>
      <w:r w:rsidRPr="00261E9F">
        <w:rPr>
          <w:sz w:val="28"/>
          <w:szCs w:val="28"/>
        </w:rPr>
        <w:t>лавный администратор муниципальной программы совместно с администраторами муниципальной программы осуществляют разработку плана мероприятий по реализации муниципальной программы по установленной форме и обеспечивают его утверждение</w:t>
      </w:r>
      <w:r>
        <w:rPr>
          <w:sz w:val="28"/>
          <w:szCs w:val="28"/>
        </w:rPr>
        <w:t xml:space="preserve"> у Главы Лихославльского муниципального округа</w:t>
      </w:r>
      <w:r w:rsidRPr="00261E9F">
        <w:rPr>
          <w:sz w:val="28"/>
          <w:szCs w:val="28"/>
        </w:rPr>
        <w:t>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42. Администраторы муниципальной программы обеспечивают своевременное и полное выполнение программы в соответствии с муниципальными правовыми актами.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43. Мониторинг реализации муниципальной программы осуществляется в течение всего периода ее реализации и предусматривает: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ежеквартальную оценку выполнения администраторами ежегодного плана мероприятий по реализации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своевременную актуализацию муниципальной программы с учётом меняющихся внешних и внутренних рисков. 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в) формирование отчета о реализации муниципальной программы за отчетный финансовый год. 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44. Мониторинг реализации муниципальной программы осуществляется посредством регулярного сбора, анализа и оценки: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45. Источниками информации для проведения мониторинга реализации муниципальной программы являются: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отчёты администраторов о выполнении мероприятий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отчёты главного администратора муниципальной программы об исполнении бюджета Лихославльского муниципального округа;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другие источники.</w:t>
      </w:r>
    </w:p>
    <w:p w:rsidR="00457C91" w:rsidRPr="00261E9F" w:rsidRDefault="00457C91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61E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457C91" w:rsidRPr="00261E9F" w:rsidRDefault="00457C91" w:rsidP="00457C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Анализ рисков реализации муниципальной программы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и меры по управлению рисками</w:t>
      </w:r>
    </w:p>
    <w:p w:rsidR="00457C91" w:rsidRPr="00261E9F" w:rsidRDefault="00457C91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46. В процессе реализации муниципальной программы могут проявиться внешние и внутренние риски.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К числу внешних рисков относятся: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внесение изменений в федеральные и региональные нормативные правовые акты (перераспределение полномочий, изменение сроков введения в действие некоторых положений и т.д.), которые могут отразиться на выполнении мероприятий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риски возникновения обстоятельств непреодолимой силы, чрезвычайных ситуаций, в том числе природного и техногенного характера, что может привести к ухудшению состояния </w:t>
      </w:r>
      <w:r>
        <w:rPr>
          <w:sz w:val="28"/>
          <w:szCs w:val="28"/>
        </w:rPr>
        <w:t>дорожно-транспортной сети, объектов благоустройства</w:t>
      </w:r>
      <w:r w:rsidRPr="00261E9F">
        <w:rPr>
          <w:sz w:val="28"/>
          <w:szCs w:val="28"/>
        </w:rPr>
        <w:t>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социальные риски, связанные с низкими доходами граждан, неудовлетворенностью граждан качеством услуг во всех сферах реализации муниципальной программы.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г) невыполнение условий контрактов контрагентами.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Вероятность возникновения внешних рисков и влияния их на достижение показателей муниципальной программы могут быть качественно оценены как высокие.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47. К числу внутренних рисков относятся: </w:t>
      </w:r>
    </w:p>
    <w:p w:rsidR="00457C91" w:rsidRPr="00261E9F" w:rsidRDefault="00457C91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сокращение объёмов ассигнований на реализацию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технологические риски, связанные с высоки</w:t>
      </w:r>
      <w:r>
        <w:rPr>
          <w:sz w:val="28"/>
          <w:szCs w:val="28"/>
        </w:rPr>
        <w:t>м уровнем изношенности объектов</w:t>
      </w:r>
      <w:r w:rsidRPr="00261E9F">
        <w:rPr>
          <w:sz w:val="28"/>
          <w:szCs w:val="28"/>
        </w:rPr>
        <w:t xml:space="preserve"> дорожно-транспортного хозяйства, что влечет за собой повышенный расход ресурсов;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в) недостаточный уровень квалификации и практического опыта сотрудников </w:t>
      </w:r>
      <w:r>
        <w:rPr>
          <w:sz w:val="28"/>
          <w:szCs w:val="28"/>
        </w:rPr>
        <w:t>территориальных отделов, являющихся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администраторами</w:t>
      </w:r>
      <w:r w:rsidRPr="00261E9F">
        <w:rPr>
          <w:sz w:val="28"/>
          <w:szCs w:val="28"/>
        </w:rPr>
        <w:t xml:space="preserve"> муниципальной программы; </w:t>
      </w:r>
    </w:p>
    <w:p w:rsidR="002D6142" w:rsidRDefault="00457C91" w:rsidP="002D6142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г) недостаточный уровень эффективности внутренних организационных процессов у главного администратора, администраторов муниципальной программы, что может привести к неисполнению мероприятий </w:t>
      </w:r>
      <w:r w:rsidR="002D6142">
        <w:rPr>
          <w:sz w:val="28"/>
          <w:szCs w:val="28"/>
        </w:rPr>
        <w:t>и задач муниципальной программы.</w:t>
      </w:r>
    </w:p>
    <w:p w:rsidR="00457C91" w:rsidRPr="00261E9F" w:rsidRDefault="00457C91" w:rsidP="002D6142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Вероятность возникновения внутренних рисков и влияния их на достижение показателей муниципальной программы могут быть качественно оценены как высокие.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48. Меры по управлению рисками, способствующие снижению определенной доли внешних и внутренних рисков: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осуществление постоянного мониторинга федерального законодательства в сферах реализации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планирование и мониторинг мероприятий муниципальной программы, позволяющие оперативно отслеживать и реагировать на ситуацию с неисполнением муниципальной программы;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координация главным администратором деятельности администраторов муниципальной программы для оперативного принятия необходимых управленческих решений;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г) создание и использование резервов материальных ресурсов и финансовых средств;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д) персональная ответственность руководителей </w:t>
      </w:r>
      <w:r>
        <w:rPr>
          <w:sz w:val="28"/>
          <w:szCs w:val="28"/>
        </w:rPr>
        <w:t>территориальных отделов</w:t>
      </w:r>
      <w:r w:rsidRPr="00261E9F">
        <w:rPr>
          <w:sz w:val="28"/>
          <w:szCs w:val="28"/>
        </w:rPr>
        <w:t xml:space="preserve"> - администраторов муниципальной программы и главного администратора, стимулирующая их к повышению уровня ответственности за реализацию закреплённых мероприятий;</w:t>
      </w:r>
    </w:p>
    <w:p w:rsidR="00457C91" w:rsidRPr="00261E9F" w:rsidRDefault="00457C91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е) повышение квалификации сотрудников </w:t>
      </w:r>
      <w:r>
        <w:rPr>
          <w:sz w:val="28"/>
          <w:szCs w:val="28"/>
        </w:rPr>
        <w:t>территориальных отделов</w:t>
      </w:r>
      <w:r w:rsidRPr="00261E9F">
        <w:rPr>
          <w:sz w:val="28"/>
          <w:szCs w:val="28"/>
        </w:rPr>
        <w:t xml:space="preserve"> и исполн</w:t>
      </w:r>
      <w:r>
        <w:rPr>
          <w:sz w:val="28"/>
          <w:szCs w:val="28"/>
        </w:rPr>
        <w:t>ителей главного администратора</w:t>
      </w:r>
      <w:r w:rsidR="00C46F9B"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муниципальной программы, обмен опытом с органами исполнительной власти других муниципальных образований Тверской области, реализующих государственную и муниципальную политику в аналогичных сферах деятельности.</w:t>
      </w:r>
    </w:p>
    <w:p w:rsidR="002F3C8C" w:rsidRDefault="002F3C8C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2235" w:rsidRDefault="001A2235" w:rsidP="00934FF9">
      <w:pPr>
        <w:rPr>
          <w:rFonts w:eastAsia="Times New Roman"/>
          <w:color w:val="000000"/>
          <w:sz w:val="20"/>
          <w:szCs w:val="20"/>
        </w:rPr>
        <w:sectPr w:rsidR="001A2235" w:rsidSect="002F3C8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087"/>
        <w:gridCol w:w="7483"/>
      </w:tblGrid>
      <w:tr w:rsidR="00C46F9B" w:rsidRPr="00AC6A60" w:rsidTr="00C46F9B">
        <w:trPr>
          <w:trHeight w:val="510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9B" w:rsidRPr="002F3C8C" w:rsidRDefault="00C46F9B" w:rsidP="00934F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9B" w:rsidRPr="002F3C8C" w:rsidRDefault="00C46F9B" w:rsidP="00C46F9B">
            <w:pPr>
              <w:jc w:val="center"/>
              <w:rPr>
                <w:rFonts w:eastAsia="Times New Roman"/>
                <w:color w:val="000000"/>
              </w:rPr>
            </w:pPr>
            <w:r w:rsidRPr="002F3C8C">
              <w:rPr>
                <w:rFonts w:eastAsia="Times New Roman"/>
                <w:color w:val="000000"/>
              </w:rPr>
              <w:t>Приложение</w:t>
            </w:r>
          </w:p>
          <w:p w:rsidR="00C46F9B" w:rsidRPr="002F3C8C" w:rsidRDefault="00C46F9B" w:rsidP="00C46F9B">
            <w:pPr>
              <w:jc w:val="center"/>
              <w:rPr>
                <w:rFonts w:eastAsia="Times New Roman"/>
                <w:color w:val="000000"/>
              </w:rPr>
            </w:pPr>
            <w:r w:rsidRPr="002F3C8C">
              <w:rPr>
                <w:rFonts w:eastAsia="Times New Roman"/>
                <w:color w:val="000000"/>
              </w:rPr>
              <w:t>к муниципальной программе Лихославльского муниципального округа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2F3C8C">
              <w:rPr>
                <w:rFonts w:eastAsia="Times New Roman"/>
                <w:color w:val="000000"/>
              </w:rPr>
              <w:t>Развитие и благоустройство сельских территорий Лихославльского муниципального округа</w:t>
            </w:r>
            <w:r>
              <w:rPr>
                <w:rFonts w:eastAsia="Times New Roman"/>
                <w:color w:val="000000"/>
              </w:rPr>
              <w:t>»</w:t>
            </w:r>
            <w:r w:rsidRPr="002F3C8C">
              <w:rPr>
                <w:rFonts w:eastAsia="Times New Roman"/>
                <w:color w:val="000000"/>
              </w:rPr>
              <w:t xml:space="preserve"> на 2022-2026 годы</w:t>
            </w:r>
          </w:p>
        </w:tc>
      </w:tr>
    </w:tbl>
    <w:p w:rsidR="00C46F9B" w:rsidRDefault="00C46F9B"/>
    <w:p w:rsidR="00C46F9B" w:rsidRPr="00C46F9B" w:rsidRDefault="00C46F9B" w:rsidP="00C46F9B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C46F9B" w:rsidRPr="00C46F9B" w:rsidRDefault="00C46F9B" w:rsidP="00C46F9B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 сельских 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C46F9B" w:rsidRDefault="00C46F9B" w:rsidP="00C46F9B"/>
    <w:p w:rsidR="00C46F9B" w:rsidRDefault="00C46F9B" w:rsidP="00C46F9B">
      <w:pPr>
        <w:ind w:firstLine="709"/>
        <w:jc w:val="both"/>
      </w:pPr>
      <w:r>
        <w:t>Принятые обозначения и сокращения:</w:t>
      </w:r>
    </w:p>
    <w:p w:rsidR="00C46F9B" w:rsidRDefault="00C46F9B" w:rsidP="00C46F9B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"Развитие и благоустройство сельских территорий Лихославльского муниципального округа" на 2022-2026 годы</w:t>
      </w:r>
    </w:p>
    <w:p w:rsidR="00C46F9B" w:rsidRDefault="00C46F9B" w:rsidP="00C46F9B">
      <w:pPr>
        <w:ind w:firstLine="709"/>
        <w:jc w:val="both"/>
      </w:pPr>
      <w:r>
        <w:t xml:space="preserve">2. Цель - цель муниципальной программы Лихославльского муниципального округа -Развитие и благоустройство сельских территорий </w:t>
      </w:r>
    </w:p>
    <w:p w:rsidR="00C46F9B" w:rsidRDefault="00C46F9B" w:rsidP="00C46F9B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«Муниципальное управление» на 2022-2026 годы</w:t>
      </w:r>
    </w:p>
    <w:p w:rsidR="00C46F9B" w:rsidRDefault="00C46F9B" w:rsidP="00C46F9B">
      <w:pPr>
        <w:ind w:firstLine="709"/>
        <w:jc w:val="both"/>
      </w:pPr>
      <w:r>
        <w:t>4.</w:t>
      </w:r>
      <w:r>
        <w:t xml:space="preserve"> Задача - задача подпрограммы.</w:t>
      </w:r>
    </w:p>
    <w:p w:rsidR="00C46F9B" w:rsidRDefault="00C46F9B" w:rsidP="00C46F9B">
      <w:pPr>
        <w:ind w:firstLine="709"/>
        <w:jc w:val="both"/>
      </w:pPr>
      <w:r>
        <w:t>5. Мероприят</w:t>
      </w:r>
      <w:r>
        <w:t>ие - мероприятие подпрограммы.</w:t>
      </w:r>
    </w:p>
    <w:p w:rsidR="00C46F9B" w:rsidRDefault="00C46F9B" w:rsidP="00C46F9B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381FAA" w:rsidRDefault="00381F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21"/>
        <w:gridCol w:w="314"/>
        <w:gridCol w:w="9"/>
        <w:gridCol w:w="312"/>
        <w:gridCol w:w="9"/>
        <w:gridCol w:w="317"/>
        <w:gridCol w:w="320"/>
        <w:gridCol w:w="314"/>
        <w:gridCol w:w="326"/>
        <w:gridCol w:w="338"/>
        <w:gridCol w:w="3643"/>
        <w:gridCol w:w="1072"/>
        <w:gridCol w:w="1386"/>
        <w:gridCol w:w="847"/>
        <w:gridCol w:w="847"/>
        <w:gridCol w:w="847"/>
        <w:gridCol w:w="847"/>
        <w:gridCol w:w="847"/>
        <w:gridCol w:w="1008"/>
      </w:tblGrid>
      <w:tr w:rsidR="003B0CA0" w:rsidRPr="003B0CA0" w:rsidTr="003B0CA0">
        <w:trPr>
          <w:trHeight w:val="315"/>
          <w:jc w:val="center"/>
        </w:trPr>
        <w:tc>
          <w:tcPr>
            <w:tcW w:w="1104" w:type="pct"/>
            <w:gridSpan w:val="12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54" w:type="pct"/>
            <w:gridSpan w:val="5"/>
            <w:vMerge w:val="restar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B0CA0" w:rsidRPr="003B0CA0" w:rsidTr="003B0CA0">
        <w:trPr>
          <w:trHeight w:val="315"/>
          <w:jc w:val="center"/>
        </w:trPr>
        <w:tc>
          <w:tcPr>
            <w:tcW w:w="21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945423" w:rsidRPr="003B0CA0" w:rsidRDefault="00945423" w:rsidP="00945423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6" w:type="pct"/>
            <w:vMerge w:val="restart"/>
            <w:shd w:val="clear" w:color="auto" w:fill="auto"/>
            <w:textDirection w:val="tbRl"/>
            <w:vAlign w:val="center"/>
          </w:tcPr>
          <w:p w:rsidR="00945423" w:rsidRPr="003B0CA0" w:rsidRDefault="00945423" w:rsidP="00945423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4" w:type="pct"/>
            <w:gridSpan w:val="5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0CA0" w:rsidRPr="003B0CA0" w:rsidTr="003B0CA0">
        <w:trPr>
          <w:trHeight w:val="1985"/>
          <w:jc w:val="center"/>
        </w:trPr>
        <w:tc>
          <w:tcPr>
            <w:tcW w:w="218" w:type="pct"/>
            <w:gridSpan w:val="2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45423" w:rsidRPr="003B0CA0" w:rsidRDefault="00945423" w:rsidP="0094542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B0CA0" w:rsidRPr="003B0CA0" w:rsidRDefault="003B0CA0" w:rsidP="003B0CA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20 817,0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18 972,5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17 415,5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17 415,5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17 416,5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92 037,0  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сельских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9 287,7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8 391,0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39 851,7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6 228,4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24 556,4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270,00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23 660,0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«"Участие в программах капитального ремонта / реконструкции автомобильных дорог общего пользования местного значения/Ремонт придомовых территорий, участие в государственных программах КРСТ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896,4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896,4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15 295,3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"Участие в программах ремонта / реконструкции </w:t>
            </w:r>
            <w:proofErr w:type="spellStart"/>
            <w:r w:rsidRPr="003B0CA0">
              <w:rPr>
                <w:rFonts w:eastAsia="Times New Roman"/>
                <w:sz w:val="18"/>
                <w:szCs w:val="18"/>
              </w:rPr>
              <w:t>межпоселенческих</w:t>
            </w:r>
            <w:proofErr w:type="spellEnd"/>
            <w:r w:rsidRPr="003B0CA0">
              <w:rPr>
                <w:rFonts w:eastAsia="Times New Roman"/>
                <w:sz w:val="18"/>
                <w:szCs w:val="18"/>
              </w:rPr>
              <w:t xml:space="preserve"> автомобильных дорог общего пользования 4 </w:t>
            </w:r>
            <w:proofErr w:type="spellStart"/>
            <w:r w:rsidRPr="003B0CA0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3B0CA0">
              <w:rPr>
                <w:rFonts w:eastAsia="Times New Roman"/>
                <w:sz w:val="18"/>
                <w:szCs w:val="18"/>
              </w:rPr>
              <w:t>. 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15 295,3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"Благоустройство"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2 057,9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1 137,6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4 826,3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«Реализации местных инициатив жителей сельских территорий Лихославльского муниципального округа"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920,3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920,3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сельских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«Обустройство контейнерных площадок в населенных пунктах Вескинского сельского поселения"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«Обустройство территории Вескинского Дома Культуры для массового отдыха"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1.003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«Обустройство зоны отдыха в с. Толмачи Лихославльского района Тверской области"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256,3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256,3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«Обеспечение прочих мероприятий по благоустройству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1 137,6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1 137,6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3 906,0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«Организация вывоза мусора, веток и древесины с территорий поселения, содержание санитарного состояния территорий (в т.ч. рабочие, экологический отряд, общественные работы)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1 043,6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1 043,6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3 718,0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1720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«Проведение работ по благоустройству муниципальных кладбищ и восстановлению воинских </w:t>
            </w:r>
            <w:proofErr w:type="gramStart"/>
            <w:r w:rsidRPr="003B0CA0">
              <w:rPr>
                <w:rFonts w:eastAsia="Times New Roman"/>
                <w:sz w:val="18"/>
                <w:szCs w:val="18"/>
              </w:rPr>
              <w:t>захоронений(</w:t>
            </w:r>
            <w:proofErr w:type="gramEnd"/>
            <w:r w:rsidRPr="003B0CA0">
              <w:rPr>
                <w:rFonts w:eastAsia="Times New Roman"/>
                <w:sz w:val="18"/>
                <w:szCs w:val="18"/>
              </w:rPr>
              <w:t>мемориалов, обелисков) на территориях сельских поселений»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188,0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Количество восстановленных воинских захоронений на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lastRenderedPageBreak/>
              <w:t>сельских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61,7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62,7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61,7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«Участие в программах капитального ремонта зданий/ областная программа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61,7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"Поддержание в технически исправном состоянии и обеспечение эстетичного внешнего вида имущества"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- Увеличение количества </w:t>
            </w:r>
            <w:proofErr w:type="spellStart"/>
            <w:r w:rsidRPr="003B0CA0">
              <w:rPr>
                <w:rFonts w:eastAsia="Times New Roman"/>
                <w:iCs/>
                <w:sz w:val="18"/>
                <w:szCs w:val="18"/>
              </w:rPr>
              <w:t>посещяемости</w:t>
            </w:r>
            <w:proofErr w:type="spellEnd"/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9 409,7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9 443,9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47 296,3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43 264,5</w:t>
            </w:r>
          </w:p>
        </w:tc>
      </w:tr>
      <w:tr w:rsidR="003B0CA0" w:rsidRPr="003B0CA0" w:rsidTr="003B0CA0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3B0CA0">
              <w:rPr>
                <w:rFonts w:eastAsia="Times New Roman"/>
                <w:bCs/>
                <w:sz w:val="18"/>
                <w:szCs w:val="18"/>
              </w:rPr>
              <w:t>1..</w:t>
            </w:r>
            <w:proofErr w:type="gramEnd"/>
            <w:r w:rsidRPr="003B0CA0">
              <w:rPr>
                <w:rFonts w:eastAsia="Times New Roman"/>
                <w:bCs/>
                <w:sz w:val="18"/>
                <w:szCs w:val="18"/>
              </w:rPr>
              <w:t>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756,8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791,0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3B0CA0" w:rsidRPr="003B0CA0" w:rsidRDefault="003B0CA0" w:rsidP="003B0CA0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4031,8</w:t>
            </w:r>
          </w:p>
        </w:tc>
      </w:tr>
    </w:tbl>
    <w:p w:rsidR="00934FF9" w:rsidRDefault="00934FF9" w:rsidP="003B0C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34FF9" w:rsidSect="001A22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B058B"/>
    <w:multiLevelType w:val="hybridMultilevel"/>
    <w:tmpl w:val="B0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687A08"/>
    <w:multiLevelType w:val="hybridMultilevel"/>
    <w:tmpl w:val="EA382BA2"/>
    <w:lvl w:ilvl="0" w:tplc="51EC4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13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F2E"/>
    <w:multiLevelType w:val="hybridMultilevel"/>
    <w:tmpl w:val="4DAA047C"/>
    <w:lvl w:ilvl="0" w:tplc="B7E8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4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27"/>
  </w:num>
  <w:num w:numId="10">
    <w:abstractNumId w:val="4"/>
  </w:num>
  <w:num w:numId="11">
    <w:abstractNumId w:val="28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  <w:num w:numId="16">
    <w:abstractNumId w:val="29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7"/>
  </w:num>
  <w:num w:numId="22">
    <w:abstractNumId w:val="22"/>
  </w:num>
  <w:num w:numId="23">
    <w:abstractNumId w:val="5"/>
  </w:num>
  <w:num w:numId="24">
    <w:abstractNumId w:val="19"/>
  </w:num>
  <w:num w:numId="25">
    <w:abstractNumId w:val="2"/>
  </w:num>
  <w:num w:numId="26">
    <w:abstractNumId w:val="20"/>
  </w:num>
  <w:num w:numId="27">
    <w:abstractNumId w:val="10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13256"/>
    <w:rsid w:val="00034AA9"/>
    <w:rsid w:val="00047864"/>
    <w:rsid w:val="000768C2"/>
    <w:rsid w:val="0008204E"/>
    <w:rsid w:val="000A05CD"/>
    <w:rsid w:val="000B1999"/>
    <w:rsid w:val="000B6CDD"/>
    <w:rsid w:val="000D0D06"/>
    <w:rsid w:val="000E2FAC"/>
    <w:rsid w:val="000E6E1A"/>
    <w:rsid w:val="00107F3E"/>
    <w:rsid w:val="001511DF"/>
    <w:rsid w:val="0016263A"/>
    <w:rsid w:val="00177400"/>
    <w:rsid w:val="001800AF"/>
    <w:rsid w:val="001A2235"/>
    <w:rsid w:val="001C0533"/>
    <w:rsid w:val="001D325B"/>
    <w:rsid w:val="001F13E6"/>
    <w:rsid w:val="00230418"/>
    <w:rsid w:val="002442AD"/>
    <w:rsid w:val="00245423"/>
    <w:rsid w:val="00261501"/>
    <w:rsid w:val="00263609"/>
    <w:rsid w:val="002707FE"/>
    <w:rsid w:val="00280391"/>
    <w:rsid w:val="00284AEE"/>
    <w:rsid w:val="002D17F9"/>
    <w:rsid w:val="002D6142"/>
    <w:rsid w:val="002F190C"/>
    <w:rsid w:val="002F3C8C"/>
    <w:rsid w:val="002F5A1D"/>
    <w:rsid w:val="003215C9"/>
    <w:rsid w:val="003236B4"/>
    <w:rsid w:val="00336620"/>
    <w:rsid w:val="00376DE3"/>
    <w:rsid w:val="00381FAA"/>
    <w:rsid w:val="003B0CA0"/>
    <w:rsid w:val="003B1D5B"/>
    <w:rsid w:val="003D53B5"/>
    <w:rsid w:val="00416E78"/>
    <w:rsid w:val="00426AFF"/>
    <w:rsid w:val="0043181F"/>
    <w:rsid w:val="004374A5"/>
    <w:rsid w:val="00457C91"/>
    <w:rsid w:val="004872CF"/>
    <w:rsid w:val="00495E5E"/>
    <w:rsid w:val="004B3248"/>
    <w:rsid w:val="004B751A"/>
    <w:rsid w:val="004C7C65"/>
    <w:rsid w:val="004E3ED5"/>
    <w:rsid w:val="00501CE2"/>
    <w:rsid w:val="00511D3C"/>
    <w:rsid w:val="005506E9"/>
    <w:rsid w:val="00551AD2"/>
    <w:rsid w:val="00556148"/>
    <w:rsid w:val="00594FFC"/>
    <w:rsid w:val="005F4B96"/>
    <w:rsid w:val="00652102"/>
    <w:rsid w:val="006577D2"/>
    <w:rsid w:val="00660872"/>
    <w:rsid w:val="00662F83"/>
    <w:rsid w:val="006838CC"/>
    <w:rsid w:val="006A4D8C"/>
    <w:rsid w:val="006A531D"/>
    <w:rsid w:val="006C243C"/>
    <w:rsid w:val="006C789D"/>
    <w:rsid w:val="00700E68"/>
    <w:rsid w:val="00705748"/>
    <w:rsid w:val="00741F04"/>
    <w:rsid w:val="00766DA4"/>
    <w:rsid w:val="00773A67"/>
    <w:rsid w:val="007A3A3C"/>
    <w:rsid w:val="007D0207"/>
    <w:rsid w:val="007D0300"/>
    <w:rsid w:val="00821E3F"/>
    <w:rsid w:val="008325E6"/>
    <w:rsid w:val="008349FB"/>
    <w:rsid w:val="00843E88"/>
    <w:rsid w:val="00861E5A"/>
    <w:rsid w:val="00870C83"/>
    <w:rsid w:val="008778B3"/>
    <w:rsid w:val="00885D82"/>
    <w:rsid w:val="00894C63"/>
    <w:rsid w:val="008950EE"/>
    <w:rsid w:val="008A3071"/>
    <w:rsid w:val="008B43D7"/>
    <w:rsid w:val="008B592F"/>
    <w:rsid w:val="008F4459"/>
    <w:rsid w:val="008F6AFC"/>
    <w:rsid w:val="00907819"/>
    <w:rsid w:val="009267B8"/>
    <w:rsid w:val="00934FF9"/>
    <w:rsid w:val="00945423"/>
    <w:rsid w:val="009513B7"/>
    <w:rsid w:val="009554F3"/>
    <w:rsid w:val="00957063"/>
    <w:rsid w:val="0097055A"/>
    <w:rsid w:val="00984969"/>
    <w:rsid w:val="00993F5D"/>
    <w:rsid w:val="009A2156"/>
    <w:rsid w:val="009A4A93"/>
    <w:rsid w:val="009C655D"/>
    <w:rsid w:val="00A11AE4"/>
    <w:rsid w:val="00A16318"/>
    <w:rsid w:val="00A3103F"/>
    <w:rsid w:val="00A6361E"/>
    <w:rsid w:val="00A948EF"/>
    <w:rsid w:val="00A955EC"/>
    <w:rsid w:val="00AB08AB"/>
    <w:rsid w:val="00AB1E41"/>
    <w:rsid w:val="00AB2222"/>
    <w:rsid w:val="00B32CD2"/>
    <w:rsid w:val="00B620CE"/>
    <w:rsid w:val="00B766A4"/>
    <w:rsid w:val="00B776F1"/>
    <w:rsid w:val="00B8074B"/>
    <w:rsid w:val="00B96DBF"/>
    <w:rsid w:val="00BB1609"/>
    <w:rsid w:val="00BB3D82"/>
    <w:rsid w:val="00BB4C58"/>
    <w:rsid w:val="00BC080D"/>
    <w:rsid w:val="00BC7ADE"/>
    <w:rsid w:val="00BF7834"/>
    <w:rsid w:val="00C0569E"/>
    <w:rsid w:val="00C40E1F"/>
    <w:rsid w:val="00C46A4B"/>
    <w:rsid w:val="00C46F9B"/>
    <w:rsid w:val="00C67D39"/>
    <w:rsid w:val="00C92EE2"/>
    <w:rsid w:val="00CB6E23"/>
    <w:rsid w:val="00CF3283"/>
    <w:rsid w:val="00CF3662"/>
    <w:rsid w:val="00CF4E61"/>
    <w:rsid w:val="00D05B2F"/>
    <w:rsid w:val="00D13980"/>
    <w:rsid w:val="00D839EF"/>
    <w:rsid w:val="00D96723"/>
    <w:rsid w:val="00DA5F62"/>
    <w:rsid w:val="00DC2856"/>
    <w:rsid w:val="00DC6E8D"/>
    <w:rsid w:val="00DD1693"/>
    <w:rsid w:val="00DE340D"/>
    <w:rsid w:val="00E05245"/>
    <w:rsid w:val="00E11D5C"/>
    <w:rsid w:val="00E23EF5"/>
    <w:rsid w:val="00E378AD"/>
    <w:rsid w:val="00E415CD"/>
    <w:rsid w:val="00E701BB"/>
    <w:rsid w:val="00E80195"/>
    <w:rsid w:val="00E96D6C"/>
    <w:rsid w:val="00EA28BA"/>
    <w:rsid w:val="00EB5FD3"/>
    <w:rsid w:val="00ED34C1"/>
    <w:rsid w:val="00F0055C"/>
    <w:rsid w:val="00F169A1"/>
    <w:rsid w:val="00F25819"/>
    <w:rsid w:val="00F30751"/>
    <w:rsid w:val="00F70A23"/>
    <w:rsid w:val="00FC4022"/>
    <w:rsid w:val="00FD595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76C1-617B-4CB9-998F-D0BF590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7C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B32CD2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57C91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457C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0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7F3E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rsid w:val="00107F3E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1">
    <w:name w:val="Заголовок 2 Знак"/>
    <w:basedOn w:val="a0"/>
    <w:link w:val="20"/>
    <w:rsid w:val="00B32C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B32CD2"/>
    <w:pPr>
      <w:numPr>
        <w:numId w:val="1"/>
      </w:numPr>
    </w:pPr>
  </w:style>
  <w:style w:type="character" w:customStyle="1" w:styleId="a5">
    <w:name w:val="Основной текст_"/>
    <w:link w:val="31"/>
    <w:locked/>
    <w:rsid w:val="00B32CD2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B32CD2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styleId="a6">
    <w:name w:val="Hyperlink"/>
    <w:basedOn w:val="a0"/>
    <w:uiPriority w:val="99"/>
    <w:unhideWhenUsed/>
    <w:rsid w:val="00B32C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2CD2"/>
    <w:rPr>
      <w:color w:val="800080"/>
      <w:u w:val="single"/>
    </w:rPr>
  </w:style>
  <w:style w:type="paragraph" w:customStyle="1" w:styleId="font5">
    <w:name w:val="font5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B32CD2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B32CD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B32CD2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B32C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8">
    <w:name w:val="List Paragraph"/>
    <w:basedOn w:val="a"/>
    <w:link w:val="a9"/>
    <w:uiPriority w:val="99"/>
    <w:qFormat/>
    <w:rsid w:val="00B32CD2"/>
    <w:pPr>
      <w:ind w:left="720"/>
      <w:contextualSpacing/>
    </w:pPr>
    <w:rPr>
      <w:rFonts w:eastAsia="Times New Roman"/>
    </w:rPr>
  </w:style>
  <w:style w:type="character" w:customStyle="1" w:styleId="aa">
    <w:name w:val="Не вступил в силу"/>
    <w:rsid w:val="00B32CD2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B32CD2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B32CD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rsid w:val="00B32CD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B32CD2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B32CD2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B32CD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B32CD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B32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B32CD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B32CD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B32C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B32C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B32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B32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B32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32C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32C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32C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B32C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B32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B32C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32CD2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Strong"/>
    <w:basedOn w:val="a0"/>
    <w:qFormat/>
    <w:rsid w:val="00B32CD2"/>
    <w:rPr>
      <w:b/>
      <w:bCs/>
    </w:rPr>
  </w:style>
  <w:style w:type="paragraph" w:customStyle="1" w:styleId="xl131">
    <w:name w:val="xl131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45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5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7C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57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57C91"/>
  </w:style>
  <w:style w:type="paragraph" w:styleId="af1">
    <w:name w:val="footer"/>
    <w:basedOn w:val="a"/>
    <w:link w:val="af2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457C91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457C91"/>
    <w:pPr>
      <w:spacing w:before="144" w:after="288"/>
      <w:jc w:val="both"/>
    </w:pPr>
    <w:rPr>
      <w:rFonts w:eastAsia="Times New Roman"/>
    </w:rPr>
  </w:style>
  <w:style w:type="paragraph" w:customStyle="1" w:styleId="af4">
    <w:name w:val="Нормальный"/>
    <w:link w:val="af5"/>
    <w:rsid w:val="00457C9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5">
    <w:name w:val="Нормальный Знак"/>
    <w:link w:val="af4"/>
    <w:locked/>
    <w:rsid w:val="00457C91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457C91"/>
  </w:style>
  <w:style w:type="character" w:customStyle="1" w:styleId="b-serp-urlmark1">
    <w:name w:val="b-serp-url__mark1"/>
    <w:basedOn w:val="a0"/>
    <w:rsid w:val="00457C91"/>
  </w:style>
  <w:style w:type="paragraph" w:styleId="HTML">
    <w:name w:val="HTML Preformatted"/>
    <w:basedOn w:val="a"/>
    <w:link w:val="HTML0"/>
    <w:rsid w:val="0045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7C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457C91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457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457C9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rsid w:val="00457C91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2">
    <w:name w:val="Body Text 2"/>
    <w:basedOn w:val="a"/>
    <w:link w:val="23"/>
    <w:rsid w:val="00457C91"/>
    <w:pPr>
      <w:spacing w:after="120" w:line="48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45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Emphasis"/>
    <w:qFormat/>
    <w:rsid w:val="00457C91"/>
    <w:rPr>
      <w:i/>
      <w:iCs/>
    </w:rPr>
  </w:style>
  <w:style w:type="character" w:customStyle="1" w:styleId="apple-converted-space">
    <w:name w:val="apple-converted-space"/>
    <w:rsid w:val="00457C91"/>
  </w:style>
  <w:style w:type="paragraph" w:styleId="afb">
    <w:name w:val="No Spacing"/>
    <w:link w:val="afc"/>
    <w:qFormat/>
    <w:rsid w:val="00457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rsid w:val="00457C91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57C91"/>
  </w:style>
  <w:style w:type="paragraph" w:customStyle="1" w:styleId="afd">
    <w:name w:val="Знак"/>
    <w:basedOn w:val="a"/>
    <w:next w:val="a"/>
    <w:rsid w:val="00457C91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e">
    <w:name w:val="Гипертекстовая ссылка"/>
    <w:rsid w:val="00457C91"/>
    <w:rPr>
      <w:rFonts w:cs="Times New Roman"/>
      <w:b/>
      <w:color w:val="008000"/>
    </w:rPr>
  </w:style>
  <w:style w:type="paragraph" w:customStyle="1" w:styleId="11">
    <w:name w:val="Без интервала1"/>
    <w:rsid w:val="00457C91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rsid w:val="00457C91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4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457C91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457C91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457C91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457C9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457C91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rsid w:val="00457C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rsid w:val="00457C91"/>
    <w:pPr>
      <w:spacing w:after="120"/>
    </w:pPr>
    <w:rPr>
      <w:rFonts w:eastAsia="Times New Roman"/>
    </w:rPr>
  </w:style>
  <w:style w:type="character" w:customStyle="1" w:styleId="aff1">
    <w:name w:val="Основной текст Знак"/>
    <w:basedOn w:val="a0"/>
    <w:link w:val="aff0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ConsPlusNormal"/>
    <w:qFormat/>
    <w:rsid w:val="00457C9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2022-04-01T13:33:00Z</cp:lastPrinted>
  <dcterms:created xsi:type="dcterms:W3CDTF">2022-04-01T12:56:00Z</dcterms:created>
  <dcterms:modified xsi:type="dcterms:W3CDTF">2022-04-01T13:36:00Z</dcterms:modified>
</cp:coreProperties>
</file>