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CB3D45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CB3D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</w:t>
            </w:r>
            <w:r w:rsidR="004E32B7">
              <w:rPr>
                <w:sz w:val="28"/>
                <w:szCs w:val="28"/>
              </w:rPr>
              <w:t>6</w:t>
            </w:r>
            <w:r w:rsidR="00CB3D45">
              <w:rPr>
                <w:sz w:val="28"/>
                <w:szCs w:val="28"/>
              </w:rPr>
              <w:t>5</w:t>
            </w:r>
            <w:r w:rsidR="0048314D">
              <w:rPr>
                <w:sz w:val="28"/>
                <w:szCs w:val="28"/>
              </w:rPr>
              <w:t>-1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8314D" w:rsidRPr="0048314D" w:rsidRDefault="0048314D" w:rsidP="0048314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8314D">
        <w:rPr>
          <w:rFonts w:eastAsia="Calibri"/>
          <w:b/>
          <w:sz w:val="28"/>
          <w:szCs w:val="28"/>
          <w:lang w:eastAsia="en-US"/>
        </w:rPr>
        <w:t>О мерах по обеспечению безопасности в период подготовки и проведения новогодних и рождественских праздников</w:t>
      </w:r>
    </w:p>
    <w:p w:rsidR="008569AB" w:rsidRDefault="008569AB" w:rsidP="008569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95334" w:rsidRPr="008569AB" w:rsidRDefault="00995334" w:rsidP="008569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95334" w:rsidRPr="00995334" w:rsidRDefault="0048314D" w:rsidP="004831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866">
        <w:rPr>
          <w:rFonts w:eastAsia="Calibri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целях обеспечения безопасности в период подготовки и проведения новогодних и рождественских праздников на территории Лихославльского района</w:t>
      </w:r>
      <w:r w:rsidR="00CB3D45" w:rsidRPr="006F4352">
        <w:rPr>
          <w:sz w:val="28"/>
          <w:szCs w:val="28"/>
        </w:rPr>
        <w:t>,</w:t>
      </w:r>
      <w:r w:rsidR="003A7F36">
        <w:rPr>
          <w:sz w:val="28"/>
          <w:szCs w:val="28"/>
        </w:rPr>
        <w:t xml:space="preserve"> </w:t>
      </w:r>
      <w:r w:rsidR="00995334" w:rsidRPr="00995334">
        <w:rPr>
          <w:sz w:val="28"/>
          <w:szCs w:val="28"/>
        </w:rPr>
        <w:t xml:space="preserve">администрация Лихославльского района </w:t>
      </w:r>
      <w:r w:rsidR="00995334" w:rsidRPr="00995334">
        <w:rPr>
          <w:b/>
          <w:spacing w:val="30"/>
          <w:sz w:val="28"/>
          <w:szCs w:val="28"/>
        </w:rPr>
        <w:t>постановляет:</w:t>
      </w:r>
    </w:p>
    <w:p w:rsidR="0048314D" w:rsidRPr="0048314D" w:rsidRDefault="0048314D" w:rsidP="0048314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14D">
        <w:rPr>
          <w:rFonts w:eastAsia="Calibri"/>
          <w:sz w:val="28"/>
          <w:szCs w:val="28"/>
          <w:lang w:eastAsia="en-US"/>
        </w:rPr>
        <w:t>1. Утвердить План мероприятий по обеспечению безопасности граждан в период проведения новогодних и рождественских праздников на территории Лихославльского района (прилагается).</w:t>
      </w:r>
    </w:p>
    <w:p w:rsidR="0048314D" w:rsidRPr="0048314D" w:rsidRDefault="0048314D" w:rsidP="0048314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14D">
        <w:rPr>
          <w:rFonts w:eastAsia="Calibri"/>
          <w:sz w:val="28"/>
          <w:szCs w:val="28"/>
          <w:lang w:eastAsia="en-US"/>
        </w:rPr>
        <w:t>2. Рекомендовать главам поселений, руководителям организаций, учреждений независимо от форм собственности, руководствоваться планом по обеспечению безопасности в период подготовки и проведения новогодних и рождественских праздников.</w:t>
      </w:r>
    </w:p>
    <w:p w:rsidR="0048314D" w:rsidRPr="0048314D" w:rsidRDefault="0048314D" w:rsidP="0048314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14D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Лихославльского района С.Н. Капытова</w:t>
      </w:r>
    </w:p>
    <w:p w:rsidR="0048314D" w:rsidRPr="0048314D" w:rsidRDefault="0048314D" w:rsidP="0048314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14D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подписания, подлежит размещению на официальном сайте Лихославльского муниципального района в сети Интернет.</w:t>
      </w:r>
    </w:p>
    <w:p w:rsidR="006F5527" w:rsidRPr="006F5527" w:rsidRDefault="006F5527" w:rsidP="006F5527">
      <w:pPr>
        <w:ind w:firstLine="709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0A7B35" w:rsidRDefault="000A7B35" w:rsidP="00A42E08">
      <w:pPr>
        <w:widowControl/>
        <w:autoSpaceDE/>
        <w:autoSpaceDN/>
        <w:adjustRightInd/>
        <w:jc w:val="both"/>
        <w:rPr>
          <w:sz w:val="28"/>
          <w:szCs w:val="28"/>
        </w:rPr>
        <w:sectPr w:rsidR="000A7B35" w:rsidSect="00133A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A7B35" w:rsidRPr="000A7B35" w:rsidRDefault="000A7B35" w:rsidP="000A7B35">
      <w:pPr>
        <w:widowControl/>
        <w:autoSpaceDE/>
        <w:autoSpaceDN/>
        <w:adjustRightInd/>
        <w:ind w:left="10206"/>
        <w:rPr>
          <w:rFonts w:eastAsia="Calibri"/>
          <w:sz w:val="28"/>
          <w:szCs w:val="28"/>
          <w:lang w:eastAsia="en-US"/>
        </w:rPr>
      </w:pPr>
      <w:r w:rsidRPr="000A7B3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A7B35" w:rsidRPr="000A7B35" w:rsidRDefault="000A7B35" w:rsidP="000A7B35">
      <w:pPr>
        <w:widowControl/>
        <w:autoSpaceDE/>
        <w:autoSpaceDN/>
        <w:adjustRightInd/>
        <w:ind w:left="10206"/>
        <w:rPr>
          <w:rFonts w:eastAsia="Calibri"/>
          <w:sz w:val="28"/>
          <w:szCs w:val="28"/>
          <w:lang w:eastAsia="en-US"/>
        </w:rPr>
      </w:pPr>
      <w:r w:rsidRPr="000A7B35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0A7B35" w:rsidRPr="000A7B35" w:rsidRDefault="000A7B35" w:rsidP="000A7B35">
      <w:pPr>
        <w:widowControl/>
        <w:autoSpaceDE/>
        <w:autoSpaceDN/>
        <w:adjustRightInd/>
        <w:ind w:left="1020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Лихославльского района</w:t>
      </w:r>
    </w:p>
    <w:p w:rsidR="000A7B35" w:rsidRPr="000A7B35" w:rsidRDefault="000A7B35" w:rsidP="000A7B35">
      <w:pPr>
        <w:widowControl/>
        <w:autoSpaceDE/>
        <w:autoSpaceDN/>
        <w:adjustRightInd/>
        <w:ind w:left="1020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>
        <w:rPr>
          <w:rFonts w:eastAsia="Calibri"/>
          <w:sz w:val="28"/>
          <w:szCs w:val="28"/>
          <w:lang w:eastAsia="en-US"/>
        </w:rPr>
        <w:t>21</w:t>
      </w:r>
      <w:r w:rsidRPr="000A7B35">
        <w:rPr>
          <w:rFonts w:eastAsia="Calibri"/>
          <w:sz w:val="28"/>
          <w:szCs w:val="28"/>
          <w:lang w:eastAsia="en-US"/>
        </w:rPr>
        <w:t>.12.2020  №</w:t>
      </w:r>
      <w:proofErr w:type="gramEnd"/>
      <w:r w:rsidRPr="000A7B3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265-1</w:t>
      </w:r>
    </w:p>
    <w:p w:rsidR="000A7B35" w:rsidRPr="000A7B35" w:rsidRDefault="000A7B35" w:rsidP="000A7B3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A7B35">
        <w:rPr>
          <w:rFonts w:eastAsia="Calibri"/>
          <w:b/>
          <w:sz w:val="28"/>
          <w:szCs w:val="28"/>
          <w:lang w:eastAsia="en-US"/>
        </w:rPr>
        <w:t>П Л А Н</w:t>
      </w:r>
    </w:p>
    <w:p w:rsidR="000A7B35" w:rsidRPr="000A7B35" w:rsidRDefault="000A7B35" w:rsidP="000A7B3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A7B35">
        <w:rPr>
          <w:rFonts w:eastAsia="Calibri"/>
          <w:b/>
          <w:sz w:val="28"/>
          <w:szCs w:val="28"/>
          <w:lang w:eastAsia="en-US"/>
        </w:rPr>
        <w:t>мероприятий по обеспечению безопасности граждан в период проведения новогодних и рождественских праздников на территории Лихославльского района</w:t>
      </w:r>
    </w:p>
    <w:p w:rsidR="000A7B35" w:rsidRPr="000A7B35" w:rsidRDefault="000A7B35" w:rsidP="000A7B3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261"/>
        <w:gridCol w:w="2708"/>
        <w:gridCol w:w="2711"/>
      </w:tblGrid>
      <w:tr w:rsidR="000A7B35" w:rsidRPr="000A7B35" w:rsidTr="000A7B35">
        <w:trPr>
          <w:tblHeader/>
        </w:trPr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№№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Рекомендовать ОНД по г. Лихославль и Лихославльскому району совместно с ОМВД России по Лихославльскому району провести рейды по проверке объектов торговли на предмет наличия сертификатов соответствия на пиротехнические изделия, синтетические ёлки, гирлянды и горючие украшения.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с 21.12.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Комаров М.В. (по согласованию);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Виноградов В.А.</w:t>
            </w:r>
            <w:r w:rsidRPr="000A7B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A7B35" w:rsidRPr="000A7B35" w:rsidTr="004825C5">
        <w:trPr>
          <w:trHeight w:val="3623"/>
        </w:trPr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Рекомендовать ГКУ Тверской области «Центр социальной поддержки населения» Лихославльского района Тверской области, ГБУЗ</w:t>
            </w:r>
            <w:r w:rsidR="009B5FF7">
              <w:rPr>
                <w:rFonts w:eastAsia="Calibri"/>
                <w:sz w:val="24"/>
                <w:szCs w:val="24"/>
                <w:lang w:eastAsia="en-US"/>
              </w:rPr>
              <w:t xml:space="preserve"> Тверской области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 xml:space="preserve"> «Лихославльская ЦРБ», отделу образования администрации Лихославльского района, комитету по делам культуры администрации Лихославльского района, МУП «</w:t>
            </w:r>
            <w:proofErr w:type="spellStart"/>
            <w:r w:rsidRPr="000A7B35">
              <w:rPr>
                <w:rFonts w:eastAsia="Calibri"/>
                <w:sz w:val="24"/>
                <w:szCs w:val="24"/>
                <w:lang w:eastAsia="en-US"/>
              </w:rPr>
              <w:t>АвтоПрестиж</w:t>
            </w:r>
            <w:proofErr w:type="spellEnd"/>
            <w:r w:rsidRPr="000A7B35">
              <w:rPr>
                <w:rFonts w:eastAsia="Calibri"/>
                <w:sz w:val="24"/>
                <w:szCs w:val="24"/>
                <w:lang w:eastAsia="en-US"/>
              </w:rPr>
              <w:t>» Лихославльского района издать приказы по усилению мер пожарной безопасности, провести дополнительные инструктажи персонала, лиц, ответственных за проведение  массовых мероприятий, о мерах пожарной безопасности, о порядке их действий в случае возникновения угрозы или совершения террористических актов на период проведения  новогодних мероприятий.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На объектах с круглосуточным пребыванием людей обеспечить наличие автономных источников электроснабжения, резервное электроснабжение.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до 23.12.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Матвеева Е.А.</w:t>
            </w:r>
            <w:r w:rsidRPr="000A7B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>(по согласованию);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Шишова Л.А.</w:t>
            </w:r>
            <w:r w:rsidRPr="000A7B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Сысоева Т.А.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Баженова Д.Д.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Козлов В.О.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Обеспечить круглосуточное дежурство на объектах образования, здравоохранения, социальной сферы ответственных должностных лиц на время проведения праздничных мероприятий и выходных дней, разработать соответствующие графики дежурств.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праздничные и выходные дни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Сысоева Т.А.;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Шишова Л.А. (по согласованию);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Матвеева Е.А. (по согласованию)</w:t>
            </w: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Главам городских и сельских поселений: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Главы поселений</w:t>
            </w: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Определить места и сроки проведения праздничных мероприятий на объектах образования, культуры, социальной сферы и религиозных организаций.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до 23.12.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Принять меры по запрету применения пиротехнических изделий при проведении новогодних мероприятий с массовым пребыванием людей в закрытых помещениях и необходимости их использования в специально отведенных для этого местах на открытой территории.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до 23.12.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Организовать обеспечение пожарной безопасности подведомственных территорий, в том числе, обходы мест проживания неблагополучных семей и лиц, находящихся на патронажном учете.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до 25.12.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Обеспечить дежурство в период с 30 декабря 2020 года по 10</w:t>
            </w:r>
            <w:r w:rsidRPr="000A7B35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>января 2021 года ответственных лиц и членов добровольных пожарных дружин во время проведения праздничных мероприятий.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 xml:space="preserve">Графики дежурств ответственных лиц представить в МКУ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 xml:space="preserve">«ЕДДС Лихославльского района» 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>до 23 декабря 2020 года.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до 23.12.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 xml:space="preserve">При получении сведений о возникновении террористических угроз, экстремистских проявлений или иных чрезвычайных ситуаций незамедлительно информировать МКУ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 xml:space="preserve">«ЕДДС Лихославльского района» 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>(тел.3-52-11, 8-930-160-12-52)</w:t>
            </w:r>
            <w:r w:rsidR="009B5F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Незамедлительно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 xml:space="preserve">Комитету по делам культуры администрации Лихославльского района, отделу образования администрации Лихославльского района, отделу по физической культуре, спорту и молодежной политике администрации Лихославльского района предоставить графики проведения праздничных мероприятий в подведомственных подразделениях в МКУ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«ЕДДС Лихославльского района»</w:t>
            </w:r>
            <w:r w:rsidR="009B5F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>до 23 декабря 2020 года.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до 23.12.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Баженова Д.Д.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Сысоева Т.А.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Широкова О.А.</w:t>
            </w:r>
          </w:p>
        </w:tc>
      </w:tr>
      <w:tr w:rsidR="000A7B35" w:rsidRPr="000A7B35" w:rsidTr="004825C5">
        <w:tc>
          <w:tcPr>
            <w:tcW w:w="302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7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Рекомендовать руководителям предприятий, организаций независимо от формы собственности издать приказы по усилению мер пожарной безопасности, провести дополнительные инструктажи персонала, лиц ответственных за проведение массовых мероприятий, о мерах пожарной безопасности, о порядке их действий в случае возникновения угрозы или совершения террористических актов на период проведения новогодних мероприятий.</w:t>
            </w:r>
          </w:p>
          <w:p w:rsidR="000A7B35" w:rsidRPr="000A7B35" w:rsidRDefault="000A7B35" w:rsidP="000A7B3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 xml:space="preserve">Графики дежурств ответственных лиц представить в МКУ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«ЕДДС Лихославльского района»</w:t>
            </w:r>
            <w:r w:rsidR="009B5F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A7B35">
              <w:rPr>
                <w:rFonts w:eastAsia="Calibri"/>
                <w:sz w:val="24"/>
                <w:szCs w:val="24"/>
                <w:lang w:eastAsia="en-US"/>
              </w:rPr>
              <w:t>до 23 декабря 2020 года</w:t>
            </w:r>
            <w:r w:rsidRPr="000A7B35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0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до 23.12.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07C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1" w:type="pct"/>
            <w:shd w:val="clear" w:color="auto" w:fill="auto"/>
          </w:tcPr>
          <w:p w:rsidR="000A7B35" w:rsidRPr="000A7B35" w:rsidRDefault="000A7B35" w:rsidP="000A7B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B35">
              <w:rPr>
                <w:rFonts w:eastAsia="Calibri"/>
                <w:sz w:val="24"/>
                <w:szCs w:val="24"/>
                <w:lang w:eastAsia="en-US"/>
              </w:rPr>
              <w:t>Руководители предприятий, организаций (по согласованию)</w:t>
            </w:r>
          </w:p>
        </w:tc>
      </w:tr>
    </w:tbl>
    <w:p w:rsidR="00C236BF" w:rsidRDefault="00C236BF" w:rsidP="00A42E08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C236BF" w:rsidSect="000A7B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617291"/>
    <w:multiLevelType w:val="hybridMultilevel"/>
    <w:tmpl w:val="AAECA196"/>
    <w:lvl w:ilvl="0" w:tplc="303E0BCA">
      <w:start w:val="6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B1063"/>
    <w:multiLevelType w:val="hybridMultilevel"/>
    <w:tmpl w:val="B89852EE"/>
    <w:lvl w:ilvl="0" w:tplc="183AF2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3D7F"/>
    <w:rsid w:val="000245B5"/>
    <w:rsid w:val="00027B9B"/>
    <w:rsid w:val="00032929"/>
    <w:rsid w:val="00034665"/>
    <w:rsid w:val="000451B6"/>
    <w:rsid w:val="00060C2D"/>
    <w:rsid w:val="00062A28"/>
    <w:rsid w:val="0006792E"/>
    <w:rsid w:val="00067F1F"/>
    <w:rsid w:val="0007487C"/>
    <w:rsid w:val="0007679A"/>
    <w:rsid w:val="00083FCB"/>
    <w:rsid w:val="000873A2"/>
    <w:rsid w:val="00090DDB"/>
    <w:rsid w:val="000922D2"/>
    <w:rsid w:val="00097465"/>
    <w:rsid w:val="000A7B35"/>
    <w:rsid w:val="000B205C"/>
    <w:rsid w:val="000D7738"/>
    <w:rsid w:val="000F1996"/>
    <w:rsid w:val="000F293A"/>
    <w:rsid w:val="000F2A08"/>
    <w:rsid w:val="00103ED2"/>
    <w:rsid w:val="001045AA"/>
    <w:rsid w:val="00120D3B"/>
    <w:rsid w:val="00132EF8"/>
    <w:rsid w:val="00133A11"/>
    <w:rsid w:val="001462E7"/>
    <w:rsid w:val="00157A02"/>
    <w:rsid w:val="00161F83"/>
    <w:rsid w:val="00163FBB"/>
    <w:rsid w:val="00164B61"/>
    <w:rsid w:val="00171A6F"/>
    <w:rsid w:val="001736DD"/>
    <w:rsid w:val="00175445"/>
    <w:rsid w:val="00184EC7"/>
    <w:rsid w:val="00185DBF"/>
    <w:rsid w:val="00194E5C"/>
    <w:rsid w:val="001A53D3"/>
    <w:rsid w:val="001A7FA9"/>
    <w:rsid w:val="001B74CC"/>
    <w:rsid w:val="001B76D1"/>
    <w:rsid w:val="001C2870"/>
    <w:rsid w:val="001C3484"/>
    <w:rsid w:val="001C67E1"/>
    <w:rsid w:val="001C7BC6"/>
    <w:rsid w:val="001D0EAB"/>
    <w:rsid w:val="001D3393"/>
    <w:rsid w:val="001D7E82"/>
    <w:rsid w:val="001F5B66"/>
    <w:rsid w:val="0020256C"/>
    <w:rsid w:val="00204989"/>
    <w:rsid w:val="002104E3"/>
    <w:rsid w:val="00212ADC"/>
    <w:rsid w:val="00212EDA"/>
    <w:rsid w:val="00214C7E"/>
    <w:rsid w:val="00224DB0"/>
    <w:rsid w:val="00234AAD"/>
    <w:rsid w:val="00235755"/>
    <w:rsid w:val="00242370"/>
    <w:rsid w:val="002427B0"/>
    <w:rsid w:val="002518EA"/>
    <w:rsid w:val="002527E0"/>
    <w:rsid w:val="0025384C"/>
    <w:rsid w:val="002634A1"/>
    <w:rsid w:val="00273919"/>
    <w:rsid w:val="002764C8"/>
    <w:rsid w:val="00285684"/>
    <w:rsid w:val="00297E33"/>
    <w:rsid w:val="002A379F"/>
    <w:rsid w:val="002A3DA8"/>
    <w:rsid w:val="002A596A"/>
    <w:rsid w:val="002B258B"/>
    <w:rsid w:val="002B3653"/>
    <w:rsid w:val="002C3F9A"/>
    <w:rsid w:val="002C67FD"/>
    <w:rsid w:val="002E54F5"/>
    <w:rsid w:val="002F352E"/>
    <w:rsid w:val="002F7732"/>
    <w:rsid w:val="00301835"/>
    <w:rsid w:val="00303089"/>
    <w:rsid w:val="0031017A"/>
    <w:rsid w:val="0031547C"/>
    <w:rsid w:val="00321186"/>
    <w:rsid w:val="0032591E"/>
    <w:rsid w:val="0033212B"/>
    <w:rsid w:val="003357B9"/>
    <w:rsid w:val="0034032F"/>
    <w:rsid w:val="00342F64"/>
    <w:rsid w:val="00345B39"/>
    <w:rsid w:val="00353B5D"/>
    <w:rsid w:val="00371951"/>
    <w:rsid w:val="003804E3"/>
    <w:rsid w:val="003823F3"/>
    <w:rsid w:val="00383CC0"/>
    <w:rsid w:val="003856B4"/>
    <w:rsid w:val="00386168"/>
    <w:rsid w:val="003A7F36"/>
    <w:rsid w:val="003B1B72"/>
    <w:rsid w:val="003B48A3"/>
    <w:rsid w:val="003B73C3"/>
    <w:rsid w:val="003C03BF"/>
    <w:rsid w:val="003D232D"/>
    <w:rsid w:val="003F294C"/>
    <w:rsid w:val="00402E43"/>
    <w:rsid w:val="004153DC"/>
    <w:rsid w:val="00421E45"/>
    <w:rsid w:val="00423157"/>
    <w:rsid w:val="004254B4"/>
    <w:rsid w:val="004349D0"/>
    <w:rsid w:val="004440BE"/>
    <w:rsid w:val="00446569"/>
    <w:rsid w:val="0044693A"/>
    <w:rsid w:val="00451B7B"/>
    <w:rsid w:val="0045437E"/>
    <w:rsid w:val="00460179"/>
    <w:rsid w:val="0046507C"/>
    <w:rsid w:val="00472830"/>
    <w:rsid w:val="0048314D"/>
    <w:rsid w:val="00484B61"/>
    <w:rsid w:val="004937A9"/>
    <w:rsid w:val="004A3F4E"/>
    <w:rsid w:val="004A561C"/>
    <w:rsid w:val="004B76D8"/>
    <w:rsid w:val="004C0367"/>
    <w:rsid w:val="004C1246"/>
    <w:rsid w:val="004E3202"/>
    <w:rsid w:val="004E32B7"/>
    <w:rsid w:val="004E49BC"/>
    <w:rsid w:val="004E5546"/>
    <w:rsid w:val="004F11CE"/>
    <w:rsid w:val="00502734"/>
    <w:rsid w:val="005043E3"/>
    <w:rsid w:val="005068C4"/>
    <w:rsid w:val="005152B1"/>
    <w:rsid w:val="00517AA2"/>
    <w:rsid w:val="00517FED"/>
    <w:rsid w:val="00520453"/>
    <w:rsid w:val="005254DB"/>
    <w:rsid w:val="00536602"/>
    <w:rsid w:val="0054388D"/>
    <w:rsid w:val="00545BDC"/>
    <w:rsid w:val="00545C38"/>
    <w:rsid w:val="00545C5B"/>
    <w:rsid w:val="00551A0A"/>
    <w:rsid w:val="0055310D"/>
    <w:rsid w:val="0057542C"/>
    <w:rsid w:val="005837A5"/>
    <w:rsid w:val="005934AE"/>
    <w:rsid w:val="005940B5"/>
    <w:rsid w:val="00596E13"/>
    <w:rsid w:val="005C0651"/>
    <w:rsid w:val="005C31E5"/>
    <w:rsid w:val="005C3FB9"/>
    <w:rsid w:val="005C769A"/>
    <w:rsid w:val="005C7DCE"/>
    <w:rsid w:val="005F202E"/>
    <w:rsid w:val="005F4ED2"/>
    <w:rsid w:val="0060356D"/>
    <w:rsid w:val="00610660"/>
    <w:rsid w:val="00613157"/>
    <w:rsid w:val="00614A69"/>
    <w:rsid w:val="00615AEB"/>
    <w:rsid w:val="0063065C"/>
    <w:rsid w:val="00631211"/>
    <w:rsid w:val="00634EF3"/>
    <w:rsid w:val="00642504"/>
    <w:rsid w:val="00643078"/>
    <w:rsid w:val="006468CF"/>
    <w:rsid w:val="00652ADF"/>
    <w:rsid w:val="00661E3B"/>
    <w:rsid w:val="00684C99"/>
    <w:rsid w:val="00691DB9"/>
    <w:rsid w:val="006B2F39"/>
    <w:rsid w:val="006C6C62"/>
    <w:rsid w:val="006D6811"/>
    <w:rsid w:val="006D6C19"/>
    <w:rsid w:val="006E1C55"/>
    <w:rsid w:val="006E3FD1"/>
    <w:rsid w:val="006F5527"/>
    <w:rsid w:val="007012F1"/>
    <w:rsid w:val="007039BD"/>
    <w:rsid w:val="00716320"/>
    <w:rsid w:val="00726722"/>
    <w:rsid w:val="00726E4F"/>
    <w:rsid w:val="00727D40"/>
    <w:rsid w:val="00732999"/>
    <w:rsid w:val="007347D1"/>
    <w:rsid w:val="007364EA"/>
    <w:rsid w:val="0075426C"/>
    <w:rsid w:val="00755CF2"/>
    <w:rsid w:val="00762767"/>
    <w:rsid w:val="00767B80"/>
    <w:rsid w:val="007724A0"/>
    <w:rsid w:val="00791A36"/>
    <w:rsid w:val="007A1313"/>
    <w:rsid w:val="007A7E8A"/>
    <w:rsid w:val="007B5D90"/>
    <w:rsid w:val="007B5E91"/>
    <w:rsid w:val="007E0A53"/>
    <w:rsid w:val="007E1FEC"/>
    <w:rsid w:val="007F1D5B"/>
    <w:rsid w:val="00810ACA"/>
    <w:rsid w:val="008217D3"/>
    <w:rsid w:val="00823A20"/>
    <w:rsid w:val="00844167"/>
    <w:rsid w:val="008458C0"/>
    <w:rsid w:val="008502E0"/>
    <w:rsid w:val="0085350B"/>
    <w:rsid w:val="008569AB"/>
    <w:rsid w:val="00862759"/>
    <w:rsid w:val="0086324D"/>
    <w:rsid w:val="0089309C"/>
    <w:rsid w:val="008A208E"/>
    <w:rsid w:val="008A2D59"/>
    <w:rsid w:val="008A43DA"/>
    <w:rsid w:val="008B476F"/>
    <w:rsid w:val="008C1DC8"/>
    <w:rsid w:val="008D4835"/>
    <w:rsid w:val="008E28C8"/>
    <w:rsid w:val="008F0774"/>
    <w:rsid w:val="008F1E2D"/>
    <w:rsid w:val="008F35B7"/>
    <w:rsid w:val="0090154E"/>
    <w:rsid w:val="009030B3"/>
    <w:rsid w:val="009036A0"/>
    <w:rsid w:val="009051F1"/>
    <w:rsid w:val="00916064"/>
    <w:rsid w:val="0092153D"/>
    <w:rsid w:val="00923DAD"/>
    <w:rsid w:val="00927D95"/>
    <w:rsid w:val="00931568"/>
    <w:rsid w:val="00940B84"/>
    <w:rsid w:val="00942812"/>
    <w:rsid w:val="00944FEA"/>
    <w:rsid w:val="00945A4D"/>
    <w:rsid w:val="00947041"/>
    <w:rsid w:val="00954E93"/>
    <w:rsid w:val="00963A46"/>
    <w:rsid w:val="00970756"/>
    <w:rsid w:val="00971307"/>
    <w:rsid w:val="00973A94"/>
    <w:rsid w:val="009743FC"/>
    <w:rsid w:val="00995334"/>
    <w:rsid w:val="00995660"/>
    <w:rsid w:val="009A64C3"/>
    <w:rsid w:val="009B04A7"/>
    <w:rsid w:val="009B5FF7"/>
    <w:rsid w:val="009B7F07"/>
    <w:rsid w:val="009C258B"/>
    <w:rsid w:val="009C3BE7"/>
    <w:rsid w:val="009C439E"/>
    <w:rsid w:val="009D567B"/>
    <w:rsid w:val="00A01D53"/>
    <w:rsid w:val="00A01F6B"/>
    <w:rsid w:val="00A274AC"/>
    <w:rsid w:val="00A3102F"/>
    <w:rsid w:val="00A42E08"/>
    <w:rsid w:val="00A53770"/>
    <w:rsid w:val="00A60810"/>
    <w:rsid w:val="00A61A9B"/>
    <w:rsid w:val="00A80638"/>
    <w:rsid w:val="00A85E7E"/>
    <w:rsid w:val="00A91A67"/>
    <w:rsid w:val="00AA159E"/>
    <w:rsid w:val="00AA32A5"/>
    <w:rsid w:val="00AA3FEA"/>
    <w:rsid w:val="00AB7472"/>
    <w:rsid w:val="00AC70E4"/>
    <w:rsid w:val="00AD0F06"/>
    <w:rsid w:val="00AD0F9C"/>
    <w:rsid w:val="00AD3FA3"/>
    <w:rsid w:val="00AD7090"/>
    <w:rsid w:val="00AF1872"/>
    <w:rsid w:val="00AF6CE5"/>
    <w:rsid w:val="00B06423"/>
    <w:rsid w:val="00B103EA"/>
    <w:rsid w:val="00B12D7F"/>
    <w:rsid w:val="00B244B1"/>
    <w:rsid w:val="00B3470C"/>
    <w:rsid w:val="00B34B39"/>
    <w:rsid w:val="00B37524"/>
    <w:rsid w:val="00B47385"/>
    <w:rsid w:val="00B5394B"/>
    <w:rsid w:val="00B62D59"/>
    <w:rsid w:val="00B62FC4"/>
    <w:rsid w:val="00B66027"/>
    <w:rsid w:val="00B75F4A"/>
    <w:rsid w:val="00B777E2"/>
    <w:rsid w:val="00B9171F"/>
    <w:rsid w:val="00B92AF8"/>
    <w:rsid w:val="00B9392C"/>
    <w:rsid w:val="00BA0EAF"/>
    <w:rsid w:val="00BA1EB6"/>
    <w:rsid w:val="00BA2AFA"/>
    <w:rsid w:val="00BB0161"/>
    <w:rsid w:val="00BC168A"/>
    <w:rsid w:val="00BC6814"/>
    <w:rsid w:val="00BE6C75"/>
    <w:rsid w:val="00BE7356"/>
    <w:rsid w:val="00C01570"/>
    <w:rsid w:val="00C12749"/>
    <w:rsid w:val="00C236BF"/>
    <w:rsid w:val="00C24F61"/>
    <w:rsid w:val="00C302F0"/>
    <w:rsid w:val="00C42C01"/>
    <w:rsid w:val="00C50978"/>
    <w:rsid w:val="00C616B5"/>
    <w:rsid w:val="00C62CB6"/>
    <w:rsid w:val="00C6353A"/>
    <w:rsid w:val="00C643A2"/>
    <w:rsid w:val="00C6625A"/>
    <w:rsid w:val="00C96616"/>
    <w:rsid w:val="00CB3D45"/>
    <w:rsid w:val="00CB53F4"/>
    <w:rsid w:val="00CB620F"/>
    <w:rsid w:val="00CB778E"/>
    <w:rsid w:val="00CC1C48"/>
    <w:rsid w:val="00CC2252"/>
    <w:rsid w:val="00CC4044"/>
    <w:rsid w:val="00CC6AE9"/>
    <w:rsid w:val="00CC7C03"/>
    <w:rsid w:val="00CD2D1B"/>
    <w:rsid w:val="00CD2F8C"/>
    <w:rsid w:val="00CD3566"/>
    <w:rsid w:val="00CD5F2C"/>
    <w:rsid w:val="00CE180B"/>
    <w:rsid w:val="00D12BF3"/>
    <w:rsid w:val="00D15C43"/>
    <w:rsid w:val="00D16716"/>
    <w:rsid w:val="00D204FA"/>
    <w:rsid w:val="00D25608"/>
    <w:rsid w:val="00D26182"/>
    <w:rsid w:val="00D31144"/>
    <w:rsid w:val="00D42D38"/>
    <w:rsid w:val="00D46529"/>
    <w:rsid w:val="00D555CE"/>
    <w:rsid w:val="00D8140C"/>
    <w:rsid w:val="00D940A7"/>
    <w:rsid w:val="00D9444C"/>
    <w:rsid w:val="00DA1F55"/>
    <w:rsid w:val="00DC1806"/>
    <w:rsid w:val="00DD2188"/>
    <w:rsid w:val="00DD54EB"/>
    <w:rsid w:val="00DE1423"/>
    <w:rsid w:val="00DE47B3"/>
    <w:rsid w:val="00DE7237"/>
    <w:rsid w:val="00DE7ABC"/>
    <w:rsid w:val="00DE7C39"/>
    <w:rsid w:val="00DF06C6"/>
    <w:rsid w:val="00DF74B6"/>
    <w:rsid w:val="00E12309"/>
    <w:rsid w:val="00E13364"/>
    <w:rsid w:val="00E22CDF"/>
    <w:rsid w:val="00E26C5F"/>
    <w:rsid w:val="00E32D13"/>
    <w:rsid w:val="00E33CE7"/>
    <w:rsid w:val="00E34B77"/>
    <w:rsid w:val="00E41C32"/>
    <w:rsid w:val="00E618D3"/>
    <w:rsid w:val="00E631D8"/>
    <w:rsid w:val="00E64AEA"/>
    <w:rsid w:val="00E66C2A"/>
    <w:rsid w:val="00E91E06"/>
    <w:rsid w:val="00E96C02"/>
    <w:rsid w:val="00EA5D29"/>
    <w:rsid w:val="00EB0173"/>
    <w:rsid w:val="00EC2F3C"/>
    <w:rsid w:val="00EC4DA4"/>
    <w:rsid w:val="00EC518A"/>
    <w:rsid w:val="00EE1B7B"/>
    <w:rsid w:val="00EE3BF0"/>
    <w:rsid w:val="00F02C25"/>
    <w:rsid w:val="00F109AB"/>
    <w:rsid w:val="00F13FD1"/>
    <w:rsid w:val="00F207C3"/>
    <w:rsid w:val="00F22029"/>
    <w:rsid w:val="00F22250"/>
    <w:rsid w:val="00F2796F"/>
    <w:rsid w:val="00F3789B"/>
    <w:rsid w:val="00F41AA0"/>
    <w:rsid w:val="00F41EF9"/>
    <w:rsid w:val="00F43421"/>
    <w:rsid w:val="00F50E52"/>
    <w:rsid w:val="00F5369D"/>
    <w:rsid w:val="00F770AA"/>
    <w:rsid w:val="00F84A49"/>
    <w:rsid w:val="00F862FE"/>
    <w:rsid w:val="00FA374A"/>
    <w:rsid w:val="00FA51CA"/>
    <w:rsid w:val="00FA7673"/>
    <w:rsid w:val="00FB2E63"/>
    <w:rsid w:val="00FB6328"/>
    <w:rsid w:val="00FB6CB1"/>
    <w:rsid w:val="00FC3517"/>
    <w:rsid w:val="00FC48A6"/>
    <w:rsid w:val="00FD13D4"/>
    <w:rsid w:val="00FD599E"/>
    <w:rsid w:val="00FE3692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5C7DC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2020-12-21T07:44:00Z</cp:lastPrinted>
  <dcterms:created xsi:type="dcterms:W3CDTF">2020-12-21T07:48:00Z</dcterms:created>
  <dcterms:modified xsi:type="dcterms:W3CDTF">2020-12-21T07:52:00Z</dcterms:modified>
</cp:coreProperties>
</file>