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79" w:rsidRPr="005B6A0F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A0F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6C0E79" w:rsidRPr="005B6A0F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A0F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6C0E79" w:rsidRPr="005B6A0F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E79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A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C0E79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6C0E79" w:rsidRPr="005B6A0F" w:rsidTr="004B048C">
        <w:tc>
          <w:tcPr>
            <w:tcW w:w="5210" w:type="dxa"/>
            <w:shd w:val="clear" w:color="auto" w:fill="auto"/>
          </w:tcPr>
          <w:p w:rsidR="006C0E79" w:rsidRPr="005B6A0F" w:rsidRDefault="006C0E79" w:rsidP="005A4DF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22.01.2019</w:t>
            </w:r>
          </w:p>
        </w:tc>
        <w:tc>
          <w:tcPr>
            <w:tcW w:w="5211" w:type="dxa"/>
            <w:shd w:val="clear" w:color="auto" w:fill="auto"/>
          </w:tcPr>
          <w:p w:rsidR="006C0E79" w:rsidRPr="005B6A0F" w:rsidRDefault="006C0E79" w:rsidP="005A4DF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C0E79" w:rsidRPr="005B6A0F" w:rsidTr="004B048C">
        <w:tc>
          <w:tcPr>
            <w:tcW w:w="10421" w:type="dxa"/>
            <w:gridSpan w:val="2"/>
            <w:shd w:val="clear" w:color="auto" w:fill="auto"/>
          </w:tcPr>
          <w:p w:rsidR="006C0E79" w:rsidRPr="005B6A0F" w:rsidRDefault="006C0E79" w:rsidP="005A4DF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5A4DF4" w:rsidRDefault="005A4DF4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DF4" w:rsidRDefault="005A4DF4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BAD" w:rsidRPr="006C0E79" w:rsidRDefault="00EF3BAD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</w:t>
      </w:r>
      <w:r w:rsidR="006C0E79"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(списка контрольных вопросов)</w:t>
      </w:r>
      <w:r w:rsidR="006C0E79"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B4A"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</w:t>
      </w:r>
      <w:r w:rsidR="006C0E79"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E4B4A"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плановых проверок</w:t>
      </w:r>
      <w:r w:rsidR="00AE4B4A"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органом муниципального жилищного контроля </w:t>
      </w:r>
    </w:p>
    <w:p w:rsidR="00EF3BAD" w:rsidRDefault="00EF3BAD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F4" w:rsidRPr="006C0E79" w:rsidRDefault="005A4DF4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4A" w:rsidRPr="005A4DF4" w:rsidRDefault="00EF3BAD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11.3 статьи 9 Федерального закона от 26.12.2008 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Pr="006C0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13.02.2017 </w:t>
        </w:r>
        <w:r w:rsidR="005A4D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C0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177 </w:t>
        </w:r>
        <w:r w:rsidR="005A4D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C0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общих требований к разработке и утверждению проверочных листов (списков контрольных вопросов)</w:t>
        </w:r>
      </w:hyperlink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4B4A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B4A" w:rsidRPr="006C0E79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город Лихославль от </w:t>
      </w:r>
      <w:r w:rsidR="00E42D26" w:rsidRPr="006C0E79">
        <w:rPr>
          <w:rFonts w:ascii="Times New Roman" w:hAnsi="Times New Roman" w:cs="Times New Roman"/>
          <w:sz w:val="28"/>
          <w:szCs w:val="28"/>
        </w:rPr>
        <w:t>1</w:t>
      </w:r>
      <w:r w:rsidR="00AE4B4A" w:rsidRPr="006C0E79">
        <w:rPr>
          <w:rFonts w:ascii="Times New Roman" w:hAnsi="Times New Roman" w:cs="Times New Roman"/>
          <w:sz w:val="28"/>
          <w:szCs w:val="28"/>
        </w:rPr>
        <w:t>0.1</w:t>
      </w:r>
      <w:r w:rsidR="00E42D26" w:rsidRPr="006C0E79">
        <w:rPr>
          <w:rFonts w:ascii="Times New Roman" w:hAnsi="Times New Roman" w:cs="Times New Roman"/>
          <w:sz w:val="28"/>
          <w:szCs w:val="28"/>
        </w:rPr>
        <w:t>2</w:t>
      </w:r>
      <w:r w:rsidR="00AE4B4A" w:rsidRPr="006C0E79">
        <w:rPr>
          <w:rFonts w:ascii="Times New Roman" w:hAnsi="Times New Roman" w:cs="Times New Roman"/>
          <w:sz w:val="28"/>
          <w:szCs w:val="28"/>
        </w:rPr>
        <w:t>.201</w:t>
      </w:r>
      <w:r w:rsidR="00E42D26" w:rsidRPr="006C0E79">
        <w:rPr>
          <w:rFonts w:ascii="Times New Roman" w:hAnsi="Times New Roman" w:cs="Times New Roman"/>
          <w:sz w:val="28"/>
          <w:szCs w:val="28"/>
        </w:rPr>
        <w:t>8</w:t>
      </w:r>
      <w:r w:rsidR="00AE4B4A" w:rsidRPr="006C0E79">
        <w:rPr>
          <w:rFonts w:ascii="Times New Roman" w:hAnsi="Times New Roman" w:cs="Times New Roman"/>
          <w:sz w:val="28"/>
          <w:szCs w:val="28"/>
        </w:rPr>
        <w:t xml:space="preserve"> № 25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от 25.12.2018 № 326 «О принятии муниципальным образованием «Лихославльский район» полномочий по вопросам местного значения муниципального обра</w:t>
      </w:r>
      <w:bookmarkStart w:id="0" w:name="_GoBack"/>
      <w:bookmarkEnd w:id="0"/>
      <w:r w:rsidR="00AE4B4A" w:rsidRPr="006C0E79">
        <w:rPr>
          <w:rFonts w:ascii="Times New Roman" w:hAnsi="Times New Roman" w:cs="Times New Roman"/>
          <w:sz w:val="28"/>
          <w:szCs w:val="28"/>
        </w:rPr>
        <w:t xml:space="preserve">зования городское поселение город Лихославль на 2019 год», </w:t>
      </w:r>
      <w:r w:rsidR="00AE4B4A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E4B4A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района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F4" w:rsidRPr="005A4DF4"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  <w:t>постановляет:</w:t>
      </w:r>
    </w:p>
    <w:p w:rsidR="005A4DF4" w:rsidRDefault="00EF3BAD" w:rsidP="005A4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форму проверочного листа (списка контрольных вопросов) </w:t>
      </w:r>
      <w:r w:rsidR="00AE4B4A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4B4A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 органом муниципального жилищного</w:t>
      </w:r>
      <w:r w:rsidR="00AE4B4A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E4B4A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городское поселение город Лихославль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26" w:rsidRPr="005A4DF4" w:rsidRDefault="00EF3BAD" w:rsidP="005A4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2D26" w:rsidRPr="006C0E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МО «Лихославльский район» в сети Интернет.</w:t>
      </w:r>
    </w:p>
    <w:p w:rsidR="008056BD" w:rsidRPr="006C0E79" w:rsidRDefault="008056BD" w:rsidP="005A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26" w:rsidRPr="006C0E79" w:rsidRDefault="00E42D26" w:rsidP="005A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5A4DF4" w:rsidRPr="005A4DF4" w:rsidTr="004B048C">
        <w:tc>
          <w:tcPr>
            <w:tcW w:w="3300" w:type="pct"/>
            <w:shd w:val="clear" w:color="auto" w:fill="FFFFFF"/>
            <w:vAlign w:val="bottom"/>
            <w:hideMark/>
          </w:tcPr>
          <w:p w:rsidR="005A4DF4" w:rsidRPr="005A4DF4" w:rsidRDefault="005A4DF4" w:rsidP="004B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F4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A4DF4" w:rsidRPr="005A4DF4" w:rsidRDefault="005A4DF4" w:rsidP="004B0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4DF4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DF4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</w:tr>
    </w:tbl>
    <w:p w:rsidR="008056BD" w:rsidRPr="006C0E79" w:rsidRDefault="008056BD" w:rsidP="005A4DF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DF4" w:rsidRDefault="005A4D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5A4DF4" w:rsidRPr="005A4DF4" w:rsidTr="004B048C">
        <w:trPr>
          <w:trHeight w:val="20"/>
        </w:trPr>
        <w:tc>
          <w:tcPr>
            <w:tcW w:w="4985" w:type="dxa"/>
            <w:shd w:val="clear" w:color="auto" w:fill="auto"/>
          </w:tcPr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038" w:type="dxa"/>
            <w:shd w:val="clear" w:color="auto" w:fill="auto"/>
          </w:tcPr>
          <w:p w:rsid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C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A4DF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ем</w:t>
            </w:r>
            <w:r w:rsidRPr="005A4DF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администрации </w:t>
            </w: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A4DF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Лихославльского района </w:t>
            </w: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от 22.01.2019 № 10</w:t>
            </w:r>
          </w:p>
        </w:tc>
      </w:tr>
    </w:tbl>
    <w:p w:rsidR="008056BD" w:rsidRPr="006C0E79" w:rsidRDefault="008056BD" w:rsidP="005A4DF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6BD" w:rsidRPr="006C0E79" w:rsidRDefault="008056BD" w:rsidP="005A4D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D26" w:rsidRPr="006C0E79" w:rsidRDefault="00E42D26" w:rsidP="005A4D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</w:t>
      </w:r>
      <w:r w:rsidR="005A4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(список контрольных вопросов), </w:t>
      </w:r>
      <w:r w:rsidRPr="006C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</w:t>
      </w:r>
      <w:r w:rsidR="005A4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6C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проведении плановых проверок органом муниципального жилищного контроля</w:t>
      </w:r>
    </w:p>
    <w:p w:rsidR="005A4DF4" w:rsidRDefault="005A4DF4" w:rsidP="005A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2B" w:rsidRPr="006C0E79" w:rsidRDefault="008F602B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проверочный лист (список контрольных вопросов) используется при проведении плановых проверок при осуществлении муниципального жилищного контроля на территории городского поселения город Лихославль.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проверочный лист утвержден постановлением администрации Лихославльского района от 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22.01.2018 № 10.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02B" w:rsidRPr="006C0E79" w:rsidRDefault="008F602B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5A4DF4" w:rsidRDefault="008F602B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юридического лица, фамилия, имя, отчество (при наличии) индивидуального предпринимателя в отношении котор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проводится плановая проверка 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56BD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F4" w:rsidRDefault="008F602B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проведения плановой проверки______________________________</w:t>
      </w:r>
      <w:r w:rsidR="008056BD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56BD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F4" w:rsidRDefault="008F602B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Реквизиты распоряжения о проведении проверки 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056BD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6BD" w:rsidRPr="006C0E79" w:rsidRDefault="008F602B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Учетный номер проверки и дата присвоения учетного номера проверки в едином реестре проверок 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056BD"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BAD" w:rsidRPr="006C0E79" w:rsidRDefault="008F602B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вопросов, отражающих содержание обязательных требований:</w:t>
      </w:r>
    </w:p>
    <w:p w:rsidR="00F23CEF" w:rsidRPr="006C0E79" w:rsidRDefault="00F23CEF" w:rsidP="005A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3561"/>
        <w:gridCol w:w="4495"/>
        <w:gridCol w:w="1599"/>
      </w:tblGrid>
      <w:tr w:rsidR="006F382F" w:rsidRPr="006C0E79" w:rsidTr="006F382F">
        <w:trPr>
          <w:trHeight w:val="276"/>
        </w:trPr>
        <w:tc>
          <w:tcPr>
            <w:tcW w:w="268" w:type="pct"/>
            <w:vMerge w:val="restart"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1" w:type="pct"/>
            <w:vMerge w:val="restart"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253" w:type="pct"/>
            <w:vMerge w:val="restart"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638" w:type="pct"/>
            <w:vMerge w:val="restart"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применяется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382F" w:rsidRPr="006C0E79" w:rsidTr="006F382F">
        <w:trPr>
          <w:trHeight w:val="276"/>
        </w:trPr>
        <w:tc>
          <w:tcPr>
            <w:tcW w:w="268" w:type="pct"/>
            <w:vMerge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vMerge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vMerge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vAlign w:val="center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2253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договора(</w:t>
            </w: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2253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2253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1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 </w:t>
            </w:r>
          </w:p>
        </w:tc>
        <w:tc>
          <w:tcPr>
            <w:tcW w:w="2253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2253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253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253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2253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253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2253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253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2253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2F" w:rsidRPr="006C0E79" w:rsidTr="006F382F">
        <w:tc>
          <w:tcPr>
            <w:tcW w:w="268" w:type="pct"/>
          </w:tcPr>
          <w:p w:rsidR="006F382F" w:rsidRPr="005A4DF4" w:rsidRDefault="006F382F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1" w:type="pct"/>
          </w:tcPr>
          <w:p w:rsidR="006F382F" w:rsidRPr="005A4DF4" w:rsidRDefault="006F382F" w:rsidP="005A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водоотведения, электроснабжения, общего имущества многоквартирного дома </w:t>
            </w:r>
          </w:p>
        </w:tc>
        <w:tc>
          <w:tcPr>
            <w:tcW w:w="2253" w:type="pct"/>
          </w:tcPr>
          <w:p w:rsidR="006F382F" w:rsidRPr="005A4DF4" w:rsidRDefault="006F382F" w:rsidP="00082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п.5.2, 5.3, 5.6, 5.8 Правил и норм технической эксплуатации жилищного 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170, п. 17, 18, 19, 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N 290 </w:t>
            </w:r>
          </w:p>
        </w:tc>
        <w:tc>
          <w:tcPr>
            <w:tcW w:w="638" w:type="pct"/>
          </w:tcPr>
          <w:p w:rsidR="006F382F" w:rsidRPr="005A4DF4" w:rsidRDefault="006F382F" w:rsidP="005A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DF4" w:rsidRDefault="005A4DF4" w:rsidP="004F3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89B" w:rsidRPr="00EF3BAD" w:rsidRDefault="004F389B" w:rsidP="004F3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3B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23CEF" w:rsidRPr="005A4DF4" w:rsidRDefault="004F389B" w:rsidP="004F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F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(пояснения и дополнения по контрольным вопросам, содержащимся в перечне)</w:t>
      </w:r>
    </w:p>
    <w:p w:rsidR="004871DA" w:rsidRDefault="004871DA" w:rsidP="005A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DF4" w:rsidRDefault="005A4DF4" w:rsidP="005A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323"/>
      </w:tblGrid>
      <w:tr w:rsidR="0008252B" w:rsidTr="0008252B">
        <w:tc>
          <w:tcPr>
            <w:tcW w:w="3436" w:type="dxa"/>
          </w:tcPr>
          <w:p w:rsidR="0008252B" w:rsidRDefault="0008252B" w:rsidP="005A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(должность и ФИО должностного лица, проводящего проверку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и заполнившего проверочный 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6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23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08252B" w:rsidTr="0008252B">
        <w:tc>
          <w:tcPr>
            <w:tcW w:w="3436" w:type="dxa"/>
          </w:tcPr>
          <w:p w:rsid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(должность и ФИО должностного лица,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 xml:space="preserve"> ФИО индивидуального предпринимателя, присутствовавшего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при заполнившего проверочного листа)</w:t>
            </w:r>
          </w:p>
        </w:tc>
        <w:tc>
          <w:tcPr>
            <w:tcW w:w="3436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23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5A4DF4" w:rsidRDefault="005A4DF4" w:rsidP="005A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DF4" w:rsidSect="006C0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8"/>
    <w:rsid w:val="0008252B"/>
    <w:rsid w:val="002545B0"/>
    <w:rsid w:val="004871DA"/>
    <w:rsid w:val="004F389B"/>
    <w:rsid w:val="005A4DF4"/>
    <w:rsid w:val="00606FC8"/>
    <w:rsid w:val="006C0E79"/>
    <w:rsid w:val="006F382F"/>
    <w:rsid w:val="00746A38"/>
    <w:rsid w:val="008056BD"/>
    <w:rsid w:val="008F602B"/>
    <w:rsid w:val="00AE4B4A"/>
    <w:rsid w:val="00BF2C7B"/>
    <w:rsid w:val="00CE000A"/>
    <w:rsid w:val="00E42D26"/>
    <w:rsid w:val="00EF3BAD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1517-137E-4419-8FDB-ED37AF0C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3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BAD"/>
    <w:rPr>
      <w:color w:val="0000FF"/>
      <w:u w:val="single"/>
    </w:rPr>
  </w:style>
  <w:style w:type="paragraph" w:customStyle="1" w:styleId="unformattext">
    <w:name w:val="unformattext"/>
    <w:basedOn w:val="a"/>
    <w:rsid w:val="00E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AE4B4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2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871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4871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92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2019-01-18T11:02:00Z</cp:lastPrinted>
  <dcterms:created xsi:type="dcterms:W3CDTF">2019-01-22T10:12:00Z</dcterms:created>
  <dcterms:modified xsi:type="dcterms:W3CDTF">2019-01-22T10:49:00Z</dcterms:modified>
</cp:coreProperties>
</file>