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>администрации Лихославльского района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Отдел экономики</w:t>
      </w:r>
      <w:r w:rsidR="003D2B5F">
        <w:rPr>
          <w:rStyle w:val="21"/>
        </w:rPr>
        <w:t xml:space="preserve"> и потребительского рынка </w:t>
      </w:r>
      <w:r>
        <w:rPr>
          <w:rStyle w:val="21"/>
        </w:rPr>
        <w:t xml:space="preserve">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в соответствии с Порядком</w:t>
      </w:r>
      <w:r w:rsidR="003D2B5F">
        <w:rPr>
          <w:rStyle w:val="21"/>
        </w:rPr>
        <w:t xml:space="preserve"> </w:t>
      </w:r>
      <w:r w:rsidR="003D2B5F" w:rsidRPr="003D2B5F">
        <w:t>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</w:r>
      <w:r w:rsidRPr="003D2B5F">
        <w:t>,</w:t>
      </w:r>
      <w:r>
        <w:rPr>
          <w:rStyle w:val="21"/>
        </w:rPr>
        <w:t xml:space="preserve"> утвержденным постановлением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от </w:t>
      </w:r>
      <w:r w:rsidR="003D2B5F">
        <w:rPr>
          <w:rStyle w:val="21"/>
        </w:rPr>
        <w:t>25.09</w:t>
      </w:r>
      <w:r>
        <w:rPr>
          <w:rStyle w:val="21"/>
        </w:rPr>
        <w:t xml:space="preserve">.2017 № </w:t>
      </w:r>
      <w:r w:rsidR="003D2B5F" w:rsidRPr="003D2B5F">
        <w:rPr>
          <w:rStyle w:val="21"/>
          <w:color w:val="auto"/>
        </w:rPr>
        <w:t>326</w:t>
      </w:r>
      <w:r>
        <w:rPr>
          <w:rStyle w:val="21"/>
        </w:rPr>
        <w:t xml:space="preserve"> (далее </w:t>
      </w:r>
      <w:r>
        <w:rPr>
          <w:rStyle w:val="22"/>
        </w:rPr>
        <w:t xml:space="preserve">- </w:t>
      </w:r>
      <w:r>
        <w:rPr>
          <w:rStyle w:val="21"/>
        </w:rPr>
        <w:t>Порядок), рассмотрел представленный проект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постановления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</w:t>
      </w:r>
      <w:r w:rsidR="00F657DD" w:rsidRPr="00EB227C">
        <w:rPr>
          <w:bCs/>
        </w:rPr>
        <w:t>«</w:t>
      </w:r>
      <w:r w:rsidR="00F657DD" w:rsidRPr="00A253F7">
        <w:rPr>
          <w:bCs/>
        </w:rPr>
        <w:t xml:space="preserve">Об </w:t>
      </w:r>
      <w:r w:rsidR="00F657DD">
        <w:rPr>
          <w:bCs/>
        </w:rPr>
        <w:t>утверждении схемы размещения нестационарных торговых объектов на территории городского поселения город Лихославль</w:t>
      </w:r>
      <w:r w:rsidR="00F657DD" w:rsidRPr="00EB227C">
        <w:rPr>
          <w:bCs/>
        </w:rPr>
        <w:t>»</w:t>
      </w:r>
      <w:r w:rsidR="00AD5014">
        <w:rPr>
          <w:rStyle w:val="21"/>
        </w:rPr>
        <w:t xml:space="preserve"> </w:t>
      </w:r>
      <w:r>
        <w:rPr>
          <w:rStyle w:val="21"/>
        </w:rPr>
        <w:t xml:space="preserve">(далее </w:t>
      </w:r>
      <w:r>
        <w:rPr>
          <w:rStyle w:val="22"/>
        </w:rPr>
        <w:t xml:space="preserve">— </w:t>
      </w:r>
      <w:r>
        <w:rPr>
          <w:rStyle w:val="21"/>
        </w:rPr>
        <w:t>Проект), подготовленный</w:t>
      </w:r>
      <w:r w:rsidR="003D2B5F">
        <w:rPr>
          <w:rStyle w:val="21"/>
        </w:rPr>
        <w:t xml:space="preserve"> </w:t>
      </w:r>
      <w:r>
        <w:rPr>
          <w:rStyle w:val="21"/>
        </w:rPr>
        <w:t>и направленный для подготовки настоящего заключения отделом экономики</w:t>
      </w:r>
      <w:r w:rsidR="003D2B5F">
        <w:rPr>
          <w:rStyle w:val="21"/>
        </w:rPr>
        <w:t xml:space="preserve"> </w:t>
      </w:r>
      <w:r w:rsidR="00AD5014">
        <w:rPr>
          <w:rStyle w:val="21"/>
        </w:rPr>
        <w:t xml:space="preserve">и потребительского рынка </w:t>
      </w:r>
      <w:r>
        <w:rPr>
          <w:rStyle w:val="21"/>
        </w:rPr>
        <w:t xml:space="preserve">администрации </w:t>
      </w:r>
      <w:r w:rsidR="00AD5014">
        <w:rPr>
          <w:rStyle w:val="21"/>
        </w:rPr>
        <w:t>Лихославльского района</w:t>
      </w:r>
      <w:r>
        <w:rPr>
          <w:rStyle w:val="21"/>
        </w:rPr>
        <w:t xml:space="preserve"> (далее - Разработчик), а также Сводный отчет о</w:t>
      </w:r>
      <w:r w:rsidR="003D2B5F">
        <w:rPr>
          <w:rStyle w:val="21"/>
        </w:rPr>
        <w:t xml:space="preserve"> </w:t>
      </w:r>
      <w:r>
        <w:rPr>
          <w:rStyle w:val="21"/>
        </w:rPr>
        <w:t>результатах проведения оценки регулирующего воздействия проекта муниципального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нормативного правового акта </w:t>
      </w:r>
      <w:r w:rsidR="00AD5014">
        <w:rPr>
          <w:rStyle w:val="21"/>
        </w:rPr>
        <w:t>администрации Лихославльского района</w:t>
      </w:r>
      <w:r>
        <w:rPr>
          <w:rStyle w:val="21"/>
        </w:rPr>
        <w:t xml:space="preserve"> (далее</w:t>
      </w:r>
      <w:r w:rsidR="00AD5014">
        <w:rPr>
          <w:rStyle w:val="21"/>
        </w:rPr>
        <w:t xml:space="preserve"> </w:t>
      </w:r>
      <w:r>
        <w:rPr>
          <w:rStyle w:val="21"/>
        </w:rPr>
        <w:t>- Сводный отчет) и сообщает</w:t>
      </w:r>
      <w:r w:rsidR="003D2B5F">
        <w:rPr>
          <w:rStyle w:val="21"/>
        </w:rPr>
        <w:t xml:space="preserve"> </w:t>
      </w:r>
      <w:r>
        <w:rPr>
          <w:rStyle w:val="21"/>
        </w:rPr>
        <w:t>следующее.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повторно):</w:t>
      </w:r>
      <w:r>
        <w:rPr>
          <w:rStyle w:val="42"/>
        </w:rPr>
        <w:t xml:space="preserve"> -.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AD5014" w:rsidRDefault="00946C69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</w:pPr>
      <w:hyperlink r:id="rId7" w:history="1">
        <w:r w:rsidR="00AD5014" w:rsidRPr="001841A8">
          <w:rPr>
            <w:rStyle w:val="a3"/>
            <w:i w:val="0"/>
            <w:iCs w:val="0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 w:rsidP="00F657DD">
      <w:pPr>
        <w:pStyle w:val="20"/>
        <w:shd w:val="clear" w:color="auto" w:fill="auto"/>
        <w:spacing w:before="0"/>
      </w:pPr>
      <w:r>
        <w:rPr>
          <w:rStyle w:val="21"/>
        </w:rPr>
        <w:t xml:space="preserve">проводились в период с </w:t>
      </w:r>
      <w:r w:rsidR="00FD6F33">
        <w:rPr>
          <w:rStyle w:val="21"/>
        </w:rPr>
        <w:t>27</w:t>
      </w:r>
      <w:r>
        <w:rPr>
          <w:rStyle w:val="21"/>
        </w:rPr>
        <w:t xml:space="preserve"> </w:t>
      </w:r>
      <w:r w:rsidR="00F657DD">
        <w:rPr>
          <w:rStyle w:val="21"/>
        </w:rPr>
        <w:t>дека</w:t>
      </w:r>
      <w:r>
        <w:rPr>
          <w:rStyle w:val="21"/>
        </w:rPr>
        <w:t>бря 201</w:t>
      </w:r>
      <w:r w:rsidR="00F657DD">
        <w:rPr>
          <w:rStyle w:val="21"/>
        </w:rPr>
        <w:t>9</w:t>
      </w:r>
      <w:r>
        <w:rPr>
          <w:rStyle w:val="21"/>
        </w:rPr>
        <w:t xml:space="preserve"> года по </w:t>
      </w:r>
      <w:r w:rsidR="00F657DD">
        <w:rPr>
          <w:rStyle w:val="21"/>
        </w:rPr>
        <w:t>9</w:t>
      </w:r>
      <w:r>
        <w:rPr>
          <w:rStyle w:val="21"/>
        </w:rPr>
        <w:t xml:space="preserve"> </w:t>
      </w:r>
      <w:r w:rsidR="00F657DD">
        <w:rPr>
          <w:rStyle w:val="21"/>
        </w:rPr>
        <w:t>янва</w:t>
      </w:r>
      <w:r>
        <w:rPr>
          <w:rStyle w:val="21"/>
        </w:rPr>
        <w:t>ря 20</w:t>
      </w:r>
      <w:r w:rsidR="00F657DD">
        <w:rPr>
          <w:rStyle w:val="21"/>
        </w:rPr>
        <w:t>20</w:t>
      </w:r>
      <w:r>
        <w:rPr>
          <w:rStyle w:val="21"/>
        </w:rPr>
        <w:t xml:space="preserve"> года.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Извещение о проведении публичных консультаций, текст Проекта,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</w:t>
      </w:r>
      <w:r w:rsidR="00F657DD">
        <w:rPr>
          <w:rStyle w:val="21"/>
        </w:rPr>
        <w:t>ая</w:t>
      </w:r>
      <w:r>
        <w:rPr>
          <w:rStyle w:val="21"/>
        </w:rPr>
        <w:t xml:space="preserve"> записк</w:t>
      </w:r>
      <w:r w:rsidR="00F657DD">
        <w:rPr>
          <w:rStyle w:val="21"/>
        </w:rPr>
        <w:t>а</w:t>
      </w:r>
      <w:r>
        <w:rPr>
          <w:rStyle w:val="21"/>
        </w:rPr>
        <w:t xml:space="preserve">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FD6F33">
        <w:rPr>
          <w:rStyle w:val="21"/>
        </w:rPr>
        <w:t>26</w:t>
      </w:r>
      <w:r>
        <w:rPr>
          <w:rStyle w:val="21"/>
        </w:rPr>
        <w:t xml:space="preserve"> </w:t>
      </w:r>
      <w:r w:rsidR="00F657DD">
        <w:rPr>
          <w:rStyle w:val="21"/>
        </w:rPr>
        <w:t>дека</w:t>
      </w:r>
      <w:r w:rsidR="00FD6F33">
        <w:rPr>
          <w:rStyle w:val="21"/>
        </w:rPr>
        <w:t>бря</w:t>
      </w:r>
      <w:r>
        <w:rPr>
          <w:rStyle w:val="21"/>
        </w:rPr>
        <w:t xml:space="preserve"> 201</w:t>
      </w:r>
      <w:r w:rsidR="00F657DD">
        <w:rPr>
          <w:rStyle w:val="21"/>
        </w:rPr>
        <w:t>9</w:t>
      </w:r>
      <w:r>
        <w:rPr>
          <w:rStyle w:val="21"/>
        </w:rPr>
        <w:t xml:space="preserve"> года на официальном сайте </w:t>
      </w:r>
      <w:r w:rsidR="00F657DD">
        <w:rPr>
          <w:rStyle w:val="21"/>
        </w:rPr>
        <w:t>МО</w:t>
      </w:r>
      <w:r w:rsidR="00FD6F33">
        <w:rPr>
          <w:rStyle w:val="21"/>
        </w:rPr>
        <w:t xml:space="preserve"> </w:t>
      </w:r>
      <w:r w:rsidR="00F657DD">
        <w:rPr>
          <w:rStyle w:val="21"/>
        </w:rPr>
        <w:t>«</w:t>
      </w:r>
      <w:r w:rsidR="00FD6F33">
        <w:rPr>
          <w:rStyle w:val="21"/>
        </w:rPr>
        <w:t>Лихославльск</w:t>
      </w:r>
      <w:r w:rsidR="00F657DD">
        <w:rPr>
          <w:rStyle w:val="21"/>
        </w:rPr>
        <w:t>ий</w:t>
      </w:r>
      <w:r w:rsidR="00FD6F33">
        <w:rPr>
          <w:rStyle w:val="21"/>
        </w:rPr>
        <w:t xml:space="preserve"> район</w:t>
      </w:r>
      <w:r w:rsidR="00F657DD">
        <w:rPr>
          <w:rStyle w:val="21"/>
        </w:rPr>
        <w:t>»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прав предпринимателей в Тверской области;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r w:rsidR="00FD6F33">
        <w:rPr>
          <w:rStyle w:val="21"/>
        </w:rPr>
        <w:t>ГеоПроект+</w:t>
      </w:r>
      <w:r>
        <w:rPr>
          <w:rStyle w:val="21"/>
        </w:rPr>
        <w:t>», член Совета предпринимател</w:t>
      </w:r>
      <w:r w:rsidR="00FD6F33">
        <w:rPr>
          <w:rStyle w:val="21"/>
        </w:rPr>
        <w:t xml:space="preserve">ей </w:t>
      </w:r>
      <w:r>
        <w:rPr>
          <w:rStyle w:val="21"/>
        </w:rPr>
        <w:t xml:space="preserve">при Главе </w:t>
      </w:r>
      <w:r w:rsidR="00FD6F33">
        <w:rPr>
          <w:rStyle w:val="21"/>
        </w:rPr>
        <w:t>Лихославльского района</w:t>
      </w:r>
      <w:r>
        <w:rPr>
          <w:rStyle w:val="21"/>
        </w:rPr>
        <w:t xml:space="preserve">; </w:t>
      </w:r>
      <w:r w:rsidR="00FD6F33">
        <w:rPr>
          <w:rStyle w:val="21"/>
        </w:rPr>
        <w:t>индивидуальный предприниматель</w:t>
      </w:r>
      <w:r>
        <w:rPr>
          <w:rStyle w:val="21"/>
        </w:rPr>
        <w:t xml:space="preserve">, </w:t>
      </w:r>
      <w:r w:rsidR="00F657DD">
        <w:rPr>
          <w:rStyle w:val="21"/>
        </w:rPr>
        <w:t>заместитель председателя</w:t>
      </w:r>
      <w:r w:rsidR="00FD6F33">
        <w:rPr>
          <w:rStyle w:val="21"/>
        </w:rPr>
        <w:t xml:space="preserve"> Совета предпринимателей при Главе Лихославльского района</w:t>
      </w:r>
      <w:r>
        <w:rPr>
          <w:rStyle w:val="21"/>
        </w:rPr>
        <w:t xml:space="preserve">; </w:t>
      </w:r>
      <w:r w:rsidR="00F657DD">
        <w:rPr>
          <w:rStyle w:val="21"/>
        </w:rPr>
        <w:t>М</w:t>
      </w:r>
      <w:r>
        <w:rPr>
          <w:rStyle w:val="21"/>
        </w:rPr>
        <w:t>инист</w:t>
      </w:r>
      <w:r w:rsidR="00F657DD">
        <w:rPr>
          <w:rStyle w:val="21"/>
        </w:rPr>
        <w:t>е</w:t>
      </w:r>
      <w:r>
        <w:rPr>
          <w:rStyle w:val="21"/>
        </w:rPr>
        <w:t>р</w:t>
      </w:r>
      <w:r w:rsidR="00F657DD">
        <w:rPr>
          <w:rStyle w:val="21"/>
        </w:rPr>
        <w:t xml:space="preserve">ство промышленности и торговли </w:t>
      </w:r>
      <w:r>
        <w:rPr>
          <w:rStyle w:val="21"/>
        </w:rPr>
        <w:t>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</w:t>
      </w:r>
      <w:r w:rsidR="0070300E">
        <w:rPr>
          <w:rStyle w:val="21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>
        <w:rPr>
          <w:rStyle w:val="21"/>
        </w:rPr>
        <w:t xml:space="preserve"> (</w:t>
      </w:r>
      <w:r w:rsidR="0070300E">
        <w:rPr>
          <w:rStyle w:val="21"/>
        </w:rPr>
        <w:t>извещение</w:t>
      </w:r>
      <w:r>
        <w:rPr>
          <w:rStyle w:val="21"/>
        </w:rPr>
        <w:t xml:space="preserve">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направлен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 электронные </w:t>
      </w:r>
      <w:r>
        <w:rPr>
          <w:rStyle w:val="21"/>
        </w:rPr>
        <w:t xml:space="preserve">адреса </w:t>
      </w:r>
      <w:r w:rsidR="00FD6F33">
        <w:rPr>
          <w:rStyle w:val="21"/>
        </w:rPr>
        <w:t>2</w:t>
      </w:r>
      <w:r w:rsidR="0070300E">
        <w:rPr>
          <w:rStyle w:val="21"/>
        </w:rPr>
        <w:t>6</w:t>
      </w:r>
      <w:r>
        <w:rPr>
          <w:rStyle w:val="21"/>
        </w:rPr>
        <w:t xml:space="preserve"> </w:t>
      </w:r>
      <w:r w:rsidR="0070300E">
        <w:rPr>
          <w:rStyle w:val="21"/>
        </w:rPr>
        <w:t>дека</w:t>
      </w:r>
      <w:r w:rsidR="00FD6F33">
        <w:rPr>
          <w:rStyle w:val="21"/>
        </w:rPr>
        <w:t>бря</w:t>
      </w:r>
      <w:r>
        <w:rPr>
          <w:rStyle w:val="21"/>
        </w:rPr>
        <w:t xml:space="preserve"> 201</w:t>
      </w:r>
      <w:r w:rsidR="0070300E">
        <w:rPr>
          <w:rStyle w:val="21"/>
        </w:rPr>
        <w:t>9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 w:rsidP="00F657DD">
      <w:pPr>
        <w:pStyle w:val="20"/>
        <w:shd w:val="clear" w:color="auto" w:fill="auto"/>
        <w:spacing w:before="0" w:after="86"/>
        <w:ind w:firstLine="709"/>
      </w:pPr>
      <w:r>
        <w:rPr>
          <w:rStyle w:val="21"/>
        </w:rPr>
        <w:lastRenderedPageBreak/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27.1</w:t>
      </w:r>
      <w:r w:rsidR="0070300E">
        <w:rPr>
          <w:rStyle w:val="21"/>
        </w:rPr>
        <w:t>2</w:t>
      </w:r>
      <w:r>
        <w:rPr>
          <w:rStyle w:val="21"/>
        </w:rPr>
        <w:t>.201</w:t>
      </w:r>
      <w:r w:rsidR="0070300E">
        <w:rPr>
          <w:rStyle w:val="21"/>
        </w:rPr>
        <w:t>9</w:t>
      </w:r>
      <w:r>
        <w:rPr>
          <w:rStyle w:val="21"/>
        </w:rPr>
        <w:t xml:space="preserve"> по </w:t>
      </w:r>
      <w:r w:rsidR="00FD6F33">
        <w:rPr>
          <w:rStyle w:val="21"/>
        </w:rPr>
        <w:t>0</w:t>
      </w:r>
      <w:r w:rsidR="0070300E">
        <w:rPr>
          <w:rStyle w:val="21"/>
        </w:rPr>
        <w:t>9</w:t>
      </w:r>
      <w:r>
        <w:rPr>
          <w:rStyle w:val="21"/>
        </w:rPr>
        <w:t>.</w:t>
      </w:r>
      <w:r w:rsidR="0070300E">
        <w:rPr>
          <w:rStyle w:val="21"/>
        </w:rPr>
        <w:t>01</w:t>
      </w:r>
      <w:r>
        <w:rPr>
          <w:rStyle w:val="21"/>
        </w:rPr>
        <w:t>.20</w:t>
      </w:r>
      <w:r w:rsidR="0070300E">
        <w:rPr>
          <w:rStyle w:val="21"/>
        </w:rPr>
        <w:t>20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информации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12.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</w:r>
            <w:r w:rsidR="00A53436">
              <w:rPr>
                <w:rStyle w:val="295pt"/>
              </w:rPr>
              <w:t>низкую</w:t>
            </w:r>
            <w:r>
              <w:rPr>
                <w:rStyle w:val="295pt"/>
              </w:rPr>
              <w:t xml:space="preserve">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 w:rsidR="00A53436">
              <w:rPr>
                <w:rStyle w:val="295pt"/>
              </w:rPr>
              <w:t>не менее 5</w:t>
            </w:r>
            <w:r>
              <w:rPr>
                <w:rStyle w:val="295pt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 xml:space="preserve">составила </w:t>
            </w:r>
            <w:r w:rsidR="00A53436">
              <w:rPr>
                <w:rStyle w:val="295pt"/>
              </w:rPr>
              <w:t>14</w:t>
            </w:r>
            <w:r>
              <w:rPr>
                <w:rStyle w:val="295pt"/>
              </w:rPr>
              <w:t xml:space="preserve"> календарных дней</w:t>
            </w:r>
            <w:r w:rsidR="00A53436">
              <w:rPr>
                <w:rStyle w:val="295pt"/>
              </w:rPr>
              <w:t xml:space="preserve"> (с учетом нерабочих праздничных дней)</w:t>
            </w:r>
            <w:r>
              <w:rPr>
                <w:rStyle w:val="295pt"/>
              </w:rPr>
              <w:t>.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сведений Сводного</w:t>
            </w:r>
            <w:r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</w:t>
            </w:r>
            <w:r w:rsidR="00A53436">
              <w:rPr>
                <w:rStyle w:val="295pt"/>
              </w:rPr>
              <w:t>ветствует, сведения</w:t>
            </w:r>
            <w:r w:rsidR="00A53436">
              <w:rPr>
                <w:rStyle w:val="295pt"/>
              </w:rPr>
              <w:br/>
              <w:t>представлен</w:t>
            </w:r>
            <w:r>
              <w:rPr>
                <w:rStyle w:val="295pt"/>
              </w:rPr>
              <w:t>ы по всем</w:t>
            </w:r>
            <w:r>
              <w:rPr>
                <w:rStyle w:val="295pt"/>
              </w:rPr>
              <w:br/>
              <w:t>разделам.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8963FA">
        <w:rPr>
          <w:rStyle w:val="21"/>
        </w:rPr>
        <w:t>личных консультаций в период с 27</w:t>
      </w:r>
      <w:r>
        <w:rPr>
          <w:rStyle w:val="21"/>
        </w:rPr>
        <w:t>.1</w:t>
      </w:r>
      <w:r w:rsidR="00A53436">
        <w:rPr>
          <w:rStyle w:val="21"/>
        </w:rPr>
        <w:t>2</w:t>
      </w:r>
      <w:r>
        <w:rPr>
          <w:rStyle w:val="21"/>
        </w:rPr>
        <w:t>.201</w:t>
      </w:r>
      <w:r w:rsidR="00A53436">
        <w:rPr>
          <w:rStyle w:val="21"/>
        </w:rPr>
        <w:t>9</w:t>
      </w:r>
      <w:r>
        <w:rPr>
          <w:rStyle w:val="21"/>
        </w:rPr>
        <w:t xml:space="preserve"> по </w:t>
      </w:r>
      <w:r w:rsidR="00A53436">
        <w:rPr>
          <w:rStyle w:val="21"/>
        </w:rPr>
        <w:t>09</w:t>
      </w:r>
      <w:r w:rsidR="008963FA">
        <w:rPr>
          <w:rStyle w:val="21"/>
        </w:rPr>
        <w:t>.</w:t>
      </w:r>
      <w:r w:rsidR="00A53436">
        <w:rPr>
          <w:rStyle w:val="21"/>
        </w:rPr>
        <w:t>01</w:t>
      </w:r>
      <w:r>
        <w:rPr>
          <w:rStyle w:val="21"/>
        </w:rPr>
        <w:t>.20</w:t>
      </w:r>
      <w:r w:rsidR="00A53436">
        <w:rPr>
          <w:rStyle w:val="21"/>
        </w:rPr>
        <w:t>20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C70268" w:rsidRPr="00147DD2" w:rsidRDefault="00C70268" w:rsidP="00C70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DD2">
        <w:rPr>
          <w:rFonts w:ascii="Times New Roman" w:hAnsi="Times New Roman"/>
          <w:sz w:val="26"/>
          <w:szCs w:val="26"/>
        </w:rPr>
        <w:t>В соответствии с постановлением администрации Лихославльского района от 20.01.2017 №14 «Об утверждении схемы размещения нестационарных торговых объектов на территории городского поселения город Лихославль» утверждена схема размещения нестационарных торговых объектов на срок по 31.12.2019.</w:t>
      </w:r>
    </w:p>
    <w:p w:rsidR="00C70268" w:rsidRPr="00147DD2" w:rsidRDefault="00C70268" w:rsidP="00C70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DD2">
        <w:rPr>
          <w:rFonts w:ascii="Times New Roman" w:hAnsi="Times New Roman"/>
          <w:sz w:val="26"/>
          <w:szCs w:val="26"/>
        </w:rPr>
        <w:t xml:space="preserve">Комиссией по разработке схемы размещения нестационарных торговых объектов, в том числе объектов по оказанию услуг, на территории городского поселения город Лихославль согласована Схема размещения нестационарных торговых объектов на территории городского поселения город Лихославль на период с 01.01.2020 по </w:t>
      </w:r>
      <w:r w:rsidRPr="00147DD2">
        <w:rPr>
          <w:rFonts w:ascii="Times New Roman" w:hAnsi="Times New Roman"/>
          <w:sz w:val="26"/>
          <w:szCs w:val="26"/>
        </w:rPr>
        <w:lastRenderedPageBreak/>
        <w:t>31.12.2022.</w:t>
      </w:r>
    </w:p>
    <w:p w:rsidR="005F10DD" w:rsidRDefault="00C70268" w:rsidP="00C70268">
      <w:pPr>
        <w:pStyle w:val="20"/>
        <w:shd w:val="clear" w:color="auto" w:fill="auto"/>
        <w:spacing w:before="0"/>
        <w:ind w:firstLine="709"/>
      </w:pPr>
      <w:r w:rsidRPr="00147DD2">
        <w:t>Рассматриваемым проектом постановления предлагается утвердить, вышеуказанное заключение комиссии по разработке схемы размещения нестационарных торговых объектов, в том числе объектов по оказанию услуг, на территории городского поселения город Лихославль (протокол №1 от 20.12.2019).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Выявленная проблема сформулирован</w:t>
      </w:r>
      <w:r w:rsidR="00C70268">
        <w:rPr>
          <w:rStyle w:val="21"/>
        </w:rPr>
        <w:t xml:space="preserve">а </w:t>
      </w:r>
      <w:r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5F10DD" w:rsidRDefault="00C70268" w:rsidP="00C70268">
      <w:pPr>
        <w:pStyle w:val="20"/>
        <w:shd w:val="clear" w:color="auto" w:fill="auto"/>
        <w:spacing w:before="0"/>
        <w:ind w:firstLine="709"/>
      </w:pPr>
      <w:r>
        <w:t>О</w:t>
      </w:r>
      <w:r w:rsidRPr="00147DD2">
        <w:t>пределение территорий городского поселения город Лихославль, на которых размещаются нестационарные торговые объекты.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Данная цель напрямую вытекает из проблемы, адекватна и реализуема на</w:t>
      </w:r>
      <w:r>
        <w:rPr>
          <w:rStyle w:val="21"/>
        </w:rPr>
        <w:br/>
        <w:t>практике</w:t>
      </w:r>
      <w:r w:rsidR="00C70268">
        <w:rPr>
          <w:rStyle w:val="21"/>
        </w:rPr>
        <w:t>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Проверяемость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 xml:space="preserve">В разделе </w:t>
      </w:r>
      <w:r w:rsidR="00406FDA">
        <w:rPr>
          <w:rStyle w:val="21"/>
        </w:rPr>
        <w:t>4</w:t>
      </w:r>
      <w:r>
        <w:rPr>
          <w:rStyle w:val="21"/>
        </w:rPr>
        <w:t xml:space="preserve"> Сводного отчета выделены группы, затрагиваемые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Юридические лица, индивидуальные предприниматели, т.е. юридические лица и</w:t>
      </w:r>
      <w:r>
        <w:rPr>
          <w:rStyle w:val="21"/>
        </w:rPr>
        <w:br/>
        <w:t xml:space="preserve">индивидуальные предприниматели, осуществляющие </w:t>
      </w:r>
      <w:r w:rsidR="00BB5F1D">
        <w:rPr>
          <w:rStyle w:val="21"/>
        </w:rPr>
        <w:t>торговлю</w:t>
      </w:r>
      <w:r>
        <w:rPr>
          <w:rStyle w:val="21"/>
        </w:rPr>
        <w:t xml:space="preserve"> в </w:t>
      </w:r>
      <w:r w:rsidR="00BB5F1D">
        <w:rPr>
          <w:rStyle w:val="21"/>
        </w:rPr>
        <w:t>не</w:t>
      </w:r>
      <w:r>
        <w:rPr>
          <w:rStyle w:val="21"/>
        </w:rPr>
        <w:t>стационарных торговых объектах.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</w:t>
      </w:r>
      <w:r w:rsidR="00BB5F1D">
        <w:rPr>
          <w:rStyle w:val="41"/>
          <w:i/>
          <w:iCs/>
        </w:rPr>
        <w:t>ц</w:t>
      </w:r>
      <w:r>
        <w:rPr>
          <w:rStyle w:val="41"/>
          <w:i/>
          <w:iCs/>
        </w:rPr>
        <w:t>енки разработчиком дополнительных расходов бюджета</w:t>
      </w:r>
      <w:r>
        <w:rPr>
          <w:rStyle w:val="41"/>
          <w:i/>
          <w:iCs/>
        </w:rPr>
        <w:br/>
        <w:t xml:space="preserve">муниципального образования </w:t>
      </w:r>
      <w:r w:rsidR="00BB5F1D">
        <w:rPr>
          <w:rStyle w:val="41"/>
          <w:i/>
          <w:iCs/>
        </w:rPr>
        <w:t>Лихославльский район</w:t>
      </w:r>
      <w:r>
        <w:rPr>
          <w:rStyle w:val="41"/>
          <w:i/>
          <w:iCs/>
        </w:rPr>
        <w:t>, связ</w:t>
      </w:r>
      <w:r w:rsidR="00BB5F1D">
        <w:rPr>
          <w:rStyle w:val="41"/>
          <w:i/>
          <w:iCs/>
        </w:rPr>
        <w:t xml:space="preserve">анных с введением предлагаемого </w:t>
      </w:r>
      <w:r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>предлагаемого правового регулирования не повлечет дополнительных расходов бюджета МО «Лихославльский район»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 xml:space="preserve">В разделе </w:t>
      </w:r>
      <w:r>
        <w:rPr>
          <w:rStyle w:val="21"/>
          <w:i w:val="0"/>
        </w:rPr>
        <w:t>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</w:r>
      <w:r>
        <w:rPr>
          <w:rStyle w:val="41"/>
          <w:i/>
          <w:iCs/>
        </w:rPr>
        <w:lastRenderedPageBreak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На основании проведенной оценки регулирующего воздействия Проекта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613FA1">
        <w:rPr>
          <w:rStyle w:val="21"/>
        </w:rPr>
        <w:t xml:space="preserve"> и потребительского рынка администрации Лихославльского района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282C14">
        <w:rPr>
          <w:rStyle w:val="21"/>
        </w:rPr>
        <w:t>низкую</w:t>
      </w:r>
      <w:r>
        <w:rPr>
          <w:rStyle w:val="21"/>
        </w:rPr>
        <w:t xml:space="preserve">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bookmarkStart w:id="5" w:name="_GoBack"/>
      <w:bookmarkEnd w:id="5"/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 инвестиционной деятельности и бюджета муниципального образования</w:t>
      </w:r>
      <w:bookmarkStart w:id="6" w:name="bookmark5"/>
      <w:r w:rsidR="00613FA1">
        <w:rPr>
          <w:rStyle w:val="31"/>
          <w:b/>
          <w:bCs/>
        </w:rPr>
        <w:t xml:space="preserve"> </w:t>
      </w:r>
      <w:bookmarkEnd w:id="6"/>
      <w:r w:rsidR="00FB2E78">
        <w:rPr>
          <w:rStyle w:val="11"/>
          <w:b/>
          <w:bCs/>
        </w:rPr>
        <w:t>«Лихославльский район»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09"/>
      </w:pPr>
      <w:r w:rsidRPr="00FB2E78">
        <w:rPr>
          <w:rStyle w:val="41"/>
          <w:i/>
          <w:iCs/>
        </w:rPr>
        <w:t>Наличие положений.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которые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дополнительных расходов бюджета муни</w:t>
      </w:r>
      <w:r w:rsidR="00282C14">
        <w:rPr>
          <w:rStyle w:val="41"/>
          <w:i/>
          <w:iCs/>
        </w:rPr>
        <w:t>ц</w:t>
      </w:r>
      <w:r w:rsidRPr="00FB2E78">
        <w:rPr>
          <w:rStyle w:val="41"/>
          <w:i/>
          <w:iCs/>
        </w:rPr>
        <w:t xml:space="preserve">ипального образования </w:t>
      </w:r>
      <w:r w:rsidR="00282C14">
        <w:rPr>
          <w:rStyle w:val="41"/>
          <w:i/>
          <w:iCs/>
        </w:rPr>
        <w:t>«Лихославльский район»</w:t>
      </w:r>
      <w:r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Pr="00FB2E78">
        <w:rPr>
          <w:rStyle w:val="41"/>
          <w:i/>
          <w:iCs/>
        </w:rPr>
        <w:t>обоснованность:</w:t>
      </w:r>
    </w:p>
    <w:p w:rsidR="005F10DD" w:rsidRDefault="00951132" w:rsidP="005D701E">
      <w:pPr>
        <w:pStyle w:val="20"/>
        <w:shd w:val="clear" w:color="auto" w:fill="auto"/>
        <w:spacing w:before="0" w:after="206"/>
        <w:ind w:firstLine="708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</w:r>
      <w:r>
        <w:rPr>
          <w:rStyle w:val="21"/>
        </w:rPr>
        <w:lastRenderedPageBreak/>
        <w:t xml:space="preserve">бюджета муниципального образования </w:t>
      </w:r>
      <w:r w:rsidR="00FB2E78">
        <w:rPr>
          <w:rStyle w:val="21"/>
        </w:rPr>
        <w:t>«Лихославльский район»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7" w:name="bookmark6"/>
      <w:r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7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8" w:name="bookmark7"/>
      <w:r>
        <w:rPr>
          <w:rStyle w:val="11"/>
          <w:b/>
          <w:bCs/>
        </w:rPr>
        <w:t>правового акта</w:t>
      </w:r>
      <w:bookmarkEnd w:id="8"/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76" w:line="288" w:lineRule="exact"/>
        <w:ind w:firstLine="709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ии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rStyle w:val="11"/>
          <w:b/>
          <w:bCs/>
        </w:rPr>
      </w:pPr>
      <w:bookmarkStart w:id="9" w:name="bookmark8"/>
      <w:r>
        <w:rPr>
          <w:rStyle w:val="11"/>
          <w:b/>
          <w:bCs/>
        </w:rPr>
        <w:t>Общие выводы</w:t>
      </w:r>
      <w:bookmarkEnd w:id="9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 w:rsidP="005D701E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>соблюдены, оценка проведена в полной мере. В связи с вышеизложенным,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709"/>
      </w:pPr>
      <w:r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Default="00951132" w:rsidP="00FB2E78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</w:t>
      </w:r>
      <w:r w:rsidR="005D701E" w:rsidRPr="00EB227C">
        <w:rPr>
          <w:rFonts w:ascii="Times New Roman" w:eastAsia="Times New Roman" w:hAnsi="Times New Roman"/>
          <w:bCs/>
          <w:sz w:val="26"/>
          <w:szCs w:val="26"/>
        </w:rPr>
        <w:t>«</w:t>
      </w:r>
      <w:r w:rsidR="005D701E" w:rsidRPr="00A253F7">
        <w:rPr>
          <w:rFonts w:ascii="Times New Roman" w:eastAsia="Times New Roman" w:hAnsi="Times New Roman"/>
          <w:bCs/>
          <w:sz w:val="26"/>
          <w:szCs w:val="26"/>
        </w:rPr>
        <w:t xml:space="preserve">Об </w:t>
      </w:r>
      <w:r w:rsidR="005D701E">
        <w:rPr>
          <w:rFonts w:ascii="Times New Roman" w:eastAsia="Times New Roman" w:hAnsi="Times New Roman"/>
          <w:bCs/>
          <w:sz w:val="26"/>
          <w:szCs w:val="26"/>
        </w:rPr>
        <w:t>утверждении схемы размещения нестационарных торговых объектов на территории городского поселения город Лихославль</w:t>
      </w:r>
      <w:r w:rsidR="005D701E" w:rsidRPr="00EB227C">
        <w:rPr>
          <w:rFonts w:ascii="Times New Roman" w:eastAsia="Times New Roman" w:hAnsi="Times New Roman"/>
          <w:bCs/>
          <w:sz w:val="26"/>
          <w:szCs w:val="26"/>
        </w:rPr>
        <w:t>»</w:t>
      </w:r>
      <w:r w:rsidR="00FB2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21"/>
          <w:rFonts w:eastAsia="Arial Unicode MS"/>
        </w:rPr>
        <w:t>отдел экономики</w:t>
      </w:r>
      <w:r w:rsidR="00FB2E78">
        <w:rPr>
          <w:rStyle w:val="21"/>
          <w:rFonts w:eastAsia="Arial Unicode MS"/>
        </w:rPr>
        <w:t xml:space="preserve"> и потребительского рынка </w:t>
      </w:r>
      <w:r>
        <w:rPr>
          <w:rStyle w:val="21"/>
          <w:rFonts w:eastAsia="Arial Unicode MS"/>
        </w:rPr>
        <w:t xml:space="preserve">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правового регулирования.</w:t>
      </w:r>
    </w:p>
    <w:p w:rsidR="005D701E" w:rsidRDefault="005D701E" w:rsidP="00FB2E78">
      <w:pPr>
        <w:ind w:firstLine="709"/>
        <w:jc w:val="both"/>
      </w:pPr>
    </w:p>
    <w:p w:rsidR="005D701E" w:rsidRDefault="005D701E" w:rsidP="00FB2E78">
      <w:pPr>
        <w:ind w:firstLine="709"/>
        <w:jc w:val="both"/>
      </w:pPr>
    </w:p>
    <w:p w:rsidR="00FB2E78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5D701E" w:rsidRDefault="005D701E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5F10DD" w:rsidRDefault="00951132" w:rsidP="005D701E">
      <w:pPr>
        <w:pStyle w:val="20"/>
        <w:shd w:val="clear" w:color="auto" w:fill="auto"/>
        <w:spacing w:before="0"/>
      </w:pPr>
      <w:r>
        <w:rPr>
          <w:rStyle w:val="21"/>
        </w:rPr>
        <w:t>администрации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района                             </w:t>
      </w:r>
      <w:r w:rsidR="005D701E">
        <w:rPr>
          <w:rStyle w:val="21"/>
        </w:rPr>
        <w:t xml:space="preserve">                         О.А. Журавлева</w:t>
      </w:r>
      <w:r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69" w:rsidRDefault="00946C69" w:rsidP="005F10DD">
      <w:r>
        <w:separator/>
      </w:r>
    </w:p>
  </w:endnote>
  <w:endnote w:type="continuationSeparator" w:id="0">
    <w:p w:rsidR="00946C69" w:rsidRDefault="00946C69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69" w:rsidRDefault="00946C69"/>
  </w:footnote>
  <w:footnote w:type="continuationSeparator" w:id="0">
    <w:p w:rsidR="00946C69" w:rsidRDefault="00946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0DD"/>
    <w:rsid w:val="00282C14"/>
    <w:rsid w:val="003D2B5F"/>
    <w:rsid w:val="00406FDA"/>
    <w:rsid w:val="00474A2F"/>
    <w:rsid w:val="005B28D9"/>
    <w:rsid w:val="005D701E"/>
    <w:rsid w:val="005F10DD"/>
    <w:rsid w:val="00613FA1"/>
    <w:rsid w:val="006C7C0B"/>
    <w:rsid w:val="0070300E"/>
    <w:rsid w:val="008963FA"/>
    <w:rsid w:val="00946C69"/>
    <w:rsid w:val="00951132"/>
    <w:rsid w:val="009D0A36"/>
    <w:rsid w:val="009F7234"/>
    <w:rsid w:val="00A53436"/>
    <w:rsid w:val="00A758CA"/>
    <w:rsid w:val="00AD5014"/>
    <w:rsid w:val="00BB5F1D"/>
    <w:rsid w:val="00C70268"/>
    <w:rsid w:val="00DA13DD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AACB-E7B1-4C9F-BAB1-7B2390B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2020-01-09T13:29:00Z</cp:lastPrinted>
  <dcterms:created xsi:type="dcterms:W3CDTF">2017-12-07T05:54:00Z</dcterms:created>
  <dcterms:modified xsi:type="dcterms:W3CDTF">2020-01-09T13:47:00Z</dcterms:modified>
</cp:coreProperties>
</file>